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87356-10ka1_jasper.htm"/>
      <w:bookmarkStart w:id="1" w:name="ksea028735610ka1_jasper"/>
      <w:bookmarkEnd w:id="0"/>
      <w:bookmarkEnd w:id="1"/>
      <w:r>
        <w:rPr>
          <w:caps w:val="false"/>
          <w:smallCaps w:val="false"/>
          <w:bdr w:val="single" w:sz="16" w:space="1" w:color="000000"/>
        </w:rPr>
        <w:t> </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______________ to 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001-39138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2525"/>
        <w:gridCol w:w="90"/>
        <w:gridCol w:w="1640"/>
      </w:tblGrid>
      <w:tr>
        <w:trPr/>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90" w:type="dxa"/>
            <w:tcBorders/>
            <w:tcMar>
              <w:bottom w:w="0" w:type="dxa"/>
            </w:tcMar>
            <w:vAlign w:val="center"/>
          </w:tcPr>
          <w:p>
            <w:pPr>
              <w:pStyle w:val="TableContents"/>
              <w:bidi w:val="0"/>
              <w:spacing w:before="0" w:after="283"/>
              <w:jc w:val="left"/>
              <w:rPr/>
            </w:pPr>
            <w:r>
              <w:rPr/>
              <w:t> </w:t>
            </w:r>
          </w:p>
        </w:tc>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84-2984849</w:t>
            </w:r>
          </w:p>
        </w:tc>
      </w:tr>
      <w:tr>
        <w:trPr/>
        <w:tc>
          <w:tcPr>
            <w:tcW w:w="25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of </w:t>
              <w:br/>
              <w:t>incorporation or organization)</w:t>
            </w:r>
          </w:p>
        </w:tc>
        <w:tc>
          <w:tcPr>
            <w:tcW w:w="90" w:type="dxa"/>
            <w:tcBorders/>
            <w:tcMar>
              <w:bottom w:w="0" w:type="dxa"/>
            </w:tcMar>
            <w:vAlign w:val="center"/>
          </w:tcPr>
          <w:p>
            <w:pPr>
              <w:pStyle w:val="TableContents"/>
              <w:bidi w:val="0"/>
              <w:spacing w:before="0" w:after="283"/>
              <w:jc w:val="center"/>
              <w:rPr/>
            </w:pPr>
            <w:r>
              <w:rPr/>
              <w:t> </w:t>
            </w:r>
          </w:p>
        </w:tc>
        <w:tc>
          <w:tcPr>
            <w:tcW w:w="16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 xml:space="preserve">Identification No.) </w:t>
            </w:r>
          </w:p>
        </w:tc>
      </w:tr>
    </w:tbl>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28" w:type="dxa"/>
          <w:right w:w="0" w:type="dxa"/>
        </w:tblCellMar>
      </w:tblPr>
      <w:tblGrid>
        <w:gridCol w:w="3245"/>
        <w:gridCol w:w="90"/>
        <w:gridCol w:w="1025"/>
      </w:tblGrid>
      <w:tr>
        <w:trPr/>
        <w:tc>
          <w:tcPr>
            <w:tcW w:w="324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2200 Bridge Pkwy Suite #102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Redwood City, CA</w:t>
            </w:r>
          </w:p>
        </w:tc>
        <w:tc>
          <w:tcPr>
            <w:tcW w:w="90" w:type="dxa"/>
            <w:tcBorders/>
            <w:tcMar>
              <w:bottom w:w="0" w:type="dxa"/>
            </w:tcMar>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94065</w:t>
            </w:r>
          </w:p>
        </w:tc>
      </w:tr>
      <w:tr>
        <w:trPr/>
        <w:tc>
          <w:tcPr>
            <w:tcW w:w="32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0" w:type="dxa"/>
            <w:tcBorders/>
            <w:tcMar>
              <w:bottom w:w="0" w:type="dxa"/>
            </w:tcMar>
            <w:vAlign w:val="center"/>
          </w:tcPr>
          <w:p>
            <w:pPr>
              <w:pStyle w:val="TableContents"/>
              <w:bidi w:val="0"/>
              <w:spacing w:before="0" w:after="283"/>
              <w:jc w:val="center"/>
              <w:rPr/>
            </w:pPr>
            <w:r>
              <w:rPr/>
              <w:t> </w:t>
            </w:r>
          </w:p>
        </w:tc>
        <w:tc>
          <w:tcPr>
            <w:tcW w:w="10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(Zip Code) </w:t>
            </w:r>
          </w:p>
        </w:tc>
      </w:tr>
    </w:tbl>
    <w:p>
      <w:pPr>
        <w:pStyle w:val="TextBody"/>
        <w:bidi w:val="0"/>
        <w:spacing w:before="0" w:after="0"/>
        <w:ind w:left="0" w:right="0" w:hanging="0"/>
        <w:jc w:val="left"/>
        <w:rPr>
          <w:caps w:val="false"/>
          <w:smallCaps w:val="false"/>
        </w:rPr>
      </w:pPr>
      <w:r>
        <w:rPr>
          <w:caps w:val="false"/>
          <w:smallCaps w:val="false"/>
        </w:rPr>
        <w:t> </w:t>
      </w:r>
    </w:p>
    <w:tbl>
      <w:tblPr>
        <w:tblW w:w="4415" w:type="dxa"/>
        <w:jc w:val="left"/>
        <w:tblInd w:w="0" w:type="dxa"/>
        <w:tblLayout w:type="fixed"/>
        <w:tblCellMar>
          <w:top w:w="0" w:type="dxa"/>
          <w:left w:w="0" w:type="dxa"/>
          <w:bottom w:w="28" w:type="dxa"/>
          <w:right w:w="0" w:type="dxa"/>
        </w:tblCellMar>
      </w:tblPr>
      <w:tblGrid>
        <w:gridCol w:w="4415"/>
      </w:tblGrid>
      <w:tr>
        <w:trPr/>
        <w:tc>
          <w:tcPr>
            <w:tcW w:w="4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(650) 549-1400</w:t>
            </w:r>
          </w:p>
        </w:tc>
      </w:tr>
      <w:tr>
        <w:trPr/>
        <w:tc>
          <w:tcPr>
            <w:tcW w:w="44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(Registrant’s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95"/>
        <w:gridCol w:w="90"/>
        <w:gridCol w:w="1262"/>
        <w:gridCol w:w="90"/>
        <w:gridCol w:w="2568"/>
      </w:tblGrid>
      <w:tr>
        <w:trPr/>
        <w:tc>
          <w:tcPr>
            <w:tcW w:w="61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90" w:type="dxa"/>
            <w:tcBorders/>
            <w:tcMar>
              <w:bottom w:w="0" w:type="dxa"/>
            </w:tcMar>
            <w:vAlign w:val="center"/>
          </w:tcPr>
          <w:p>
            <w:pPr>
              <w:pStyle w:val="TableContents"/>
              <w:bidi w:val="0"/>
              <w:spacing w:before="0" w:after="283"/>
              <w:jc w:val="left"/>
              <w:rPr/>
            </w:pPr>
            <w:r>
              <w:rPr/>
              <w:t> </w:t>
            </w:r>
          </w:p>
        </w:tc>
        <w:tc>
          <w:tcPr>
            <w:tcW w:w="126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90" w:type="dxa"/>
            <w:tcBorders/>
            <w:tcMar>
              <w:bottom w:w="0" w:type="dxa"/>
            </w:tcMar>
            <w:vAlign w:val="center"/>
          </w:tcPr>
          <w:p>
            <w:pPr>
              <w:pStyle w:val="TableContents"/>
              <w:bidi w:val="0"/>
              <w:spacing w:before="0" w:after="283"/>
              <w:jc w:val="left"/>
              <w:rPr/>
            </w:pPr>
            <w:r>
              <w:rPr/>
              <w:t> </w:t>
            </w:r>
          </w:p>
        </w:tc>
        <w:tc>
          <w:tcPr>
            <w:tcW w:w="256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61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Voting Common Stock, par value $0.0001 per share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JSPR</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256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r>
        <w:trPr/>
        <w:tc>
          <w:tcPr>
            <w:tcW w:w="61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Redeemable Warrants, each ten warrants exercisable for one share of Voting Common Stock at an exercise price of $115.00</w:t>
            </w:r>
          </w:p>
        </w:tc>
        <w:tc>
          <w:tcPr>
            <w:tcW w:w="90" w:type="dxa"/>
            <w:tcBorders/>
            <w:tcMar>
              <w:bottom w:w="0" w:type="dxa"/>
            </w:tcMar>
            <w:vAlign w:val="center"/>
          </w:tcPr>
          <w:p>
            <w:pPr>
              <w:pStyle w:val="TableContents"/>
              <w:bidi w:val="0"/>
              <w:spacing w:before="0" w:after="283"/>
              <w:jc w:val="center"/>
              <w:rPr/>
            </w:pPr>
            <w:r>
              <w:rPr/>
              <w:t> </w:t>
            </w:r>
          </w:p>
        </w:tc>
        <w:tc>
          <w:tcPr>
            <w:tcW w:w="126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JSPRW</w:t>
            </w:r>
          </w:p>
        </w:tc>
        <w:tc>
          <w:tcPr>
            <w:tcW w:w="90" w:type="dxa"/>
            <w:tcBorders/>
            <w:tcMar>
              <w:bottom w:w="0" w:type="dxa"/>
            </w:tcMar>
            <w:vAlign w:val="center"/>
          </w:tcPr>
          <w:p>
            <w:pPr>
              <w:pStyle w:val="TableContents"/>
              <w:bidi w:val="0"/>
              <w:spacing w:before="0" w:after="283"/>
              <w:jc w:val="center"/>
              <w:rPr/>
            </w:pPr>
            <w:r>
              <w:rPr/>
              <w:t> </w:t>
            </w:r>
          </w:p>
        </w:tc>
        <w:tc>
          <w:tcPr>
            <w:tcW w:w="2568"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090"/>
        <w:gridCol w:w="2525"/>
      </w:tblGrid>
      <w:tr>
        <w:trPr/>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 ☐</w:t>
            </w:r>
          </w:p>
        </w:tc>
      </w:tr>
      <w:tr>
        <w:trPr/>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09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voting and non-voting common equity held by non-affiliates of the registrant as of June 30, 2025 (the last business day of the registrant’s most recently completed second fiscal quarter) was approximately $74.8 million based on the closing price of the registrant’s common stock on June 30, 2025 of $5.55 per share, as reported by the Nasdaq Capital Market.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25, 2026, the number of shares of the registrant’s common stock outstanding was 27,996,819 shares of voting common stock, $0.0001 par value per share, and no shares of non-voting common stock, $0.0001 par value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Therapeutics, Inc. (“Jasper,” the “Company,” “we,” “our” or “us”) is filing this Amendment No. 1 on Form 10-K/A (this “Amendment”) to our Annual Report on Form 10-K for the fiscal year ended December 31, 2025, as filed with the Securities and Exchange Commission (the “SEC”) on March 30, 2026 (the “Original Form 10-K” and as amended, the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Amendment is solely to disclose the information required in Part III (Items 10, 11, 12, 13 and 14) of Form 10-K, which information was previously omitted from the Original Form 10-K in reliance on General Instruction G(3) to Form 10-K. Accordingly, we hereby amend and restate in its entirety Part III of the Original Form 10-K.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rules of the SEC, Item 15 of Part IV has been amended and restated in its entirety to include the currently dated certifications of the Company’s principal executive officer and principal financial officer required under Section 302 of the Sarbanes-Oxley Act of 2002. Because no financial statements have been included in this Amendment and this Amendment does not contain or amend any disclosure with respect to Items 307 and 308 of Regulation S-K, paragraphs 3, 4 and 5 of the certifications have been omitted. In addition, this Amendment does not include the certificate under Section 906 of the Sarbanes-Oxley Act of 2002 as no financial statements are being filed with this Amendment.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or as otherwise expressly provided by the terms of this Amendment, no other changes have been made to the Original Form 10-K. Except as otherwise indicated herein, this Amendment continues to speak as of the date of the Original Form 10-K, and we have not updated the disclosure contained therein to reflect any events that occurred subsequent to the filing date of the Original Form 10-K. This Amendment should be read in conjunction with the Original Form 10-K and with our filings with the SEC subsequent to the filing date of the Original Form 10-K. All capitalized terms used but not defined herein shall have the meanings ascribed to them in the Original Form 10-K.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630" w:type="dxa"/>
        <w:jc w:val="left"/>
        <w:tblInd w:w="0" w:type="dxa"/>
        <w:tblLayout w:type="fixed"/>
        <w:tblCellMar>
          <w:top w:w="0" w:type="dxa"/>
          <w:left w:w="0" w:type="dxa"/>
          <w:bottom w:w="0" w:type="dxa"/>
          <w:right w:w="0" w:type="dxa"/>
        </w:tblCellMar>
      </w:tblPr>
      <w:tblGrid>
        <w:gridCol w:w="755"/>
        <w:gridCol w:w="8540"/>
        <w:gridCol w:w="335"/>
      </w:tblGrid>
      <w:tr>
        <w:trPr/>
        <w:tc>
          <w:tcPr>
            <w:tcW w:w="9630" w:type="dxa"/>
            <w:gridSpan w:val="3"/>
            <w:tcBorders/>
            <w:shd w:fill="CCEEFF" w:val="clear"/>
            <w:vAlign w:val="center"/>
          </w:tcPr>
          <w:p>
            <w:pPr>
              <w:pStyle w:val="TableContents"/>
              <w:bidi w:val="0"/>
              <w:spacing w:before="0" w:after="283"/>
              <w:jc w:val="center"/>
              <w:rPr/>
            </w:pPr>
            <w:hyperlink w:anchor="A_008">
              <w:r>
                <w:rPr>
                  <w:rStyle w:val="InternetLink"/>
                  <w:rFonts w:ascii="Times New Roman;Times;Serif" w:hAnsi="Times New Roman;Times;Serif"/>
                  <w:b/>
                  <w:sz w:val="20"/>
                </w:rPr>
                <w:t>PART III</w:t>
              </w:r>
            </w:hyperlink>
          </w:p>
        </w:tc>
      </w:tr>
      <w:tr>
        <w:trPr/>
        <w:tc>
          <w:tcPr>
            <w:tcW w:w="755" w:type="dxa"/>
            <w:tcBorders/>
            <w:vAlign w:val="center"/>
          </w:tcPr>
          <w:p>
            <w:pPr>
              <w:pStyle w:val="TableContents"/>
              <w:bidi w:val="0"/>
              <w:spacing w:before="0" w:after="283"/>
              <w:ind w:left="0" w:right="0" w:hanging="180"/>
              <w:jc w:val="left"/>
              <w:rPr/>
            </w:pPr>
            <w:r>
              <w:rPr/>
              <w:t> </w:t>
            </w:r>
          </w:p>
        </w:tc>
        <w:tc>
          <w:tcPr>
            <w:tcW w:w="854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r>
      <w:tr>
        <w:trPr/>
        <w:tc>
          <w:tcPr>
            <w:tcW w:w="755"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Item 10.</w:t>
            </w:r>
          </w:p>
        </w:tc>
        <w:tc>
          <w:tcPr>
            <w:tcW w:w="854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sz w:val="20"/>
                </w:rPr>
                <w:t>Directors, Executive Officers and Corporate Governance</w:t>
              </w:r>
            </w:hyperlink>
          </w:p>
        </w:tc>
        <w:tc>
          <w:tcPr>
            <w:tcW w:w="335" w:type="dxa"/>
            <w:tcBorders/>
            <w:shd w:fill="CCEEFF" w:val="clear"/>
            <w:vAlign w:val="center"/>
          </w:tcPr>
          <w:p>
            <w:pPr>
              <w:pStyle w:val="TableContents"/>
              <w:bidi w:val="0"/>
              <w:spacing w:before="0" w:after="283"/>
              <w:jc w:val="center"/>
              <w:rPr/>
            </w:pPr>
            <w:r>
              <w:rPr/>
              <w:t>1</w:t>
            </w:r>
          </w:p>
        </w:tc>
      </w:tr>
      <w:tr>
        <w:trPr/>
        <w:tc>
          <w:tcPr>
            <w:tcW w:w="755" w:type="dxa"/>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Item 11.</w:t>
            </w:r>
          </w:p>
        </w:tc>
        <w:tc>
          <w:tcPr>
            <w:tcW w:w="8540" w:type="dxa"/>
            <w:tcBorders/>
            <w:vAlign w:val="center"/>
          </w:tcPr>
          <w:p>
            <w:pPr>
              <w:pStyle w:val="TableContents"/>
              <w:bidi w:val="0"/>
              <w:spacing w:before="0" w:after="283"/>
              <w:jc w:val="left"/>
              <w:rPr/>
            </w:pPr>
            <w:hyperlink w:anchor="A_002">
              <w:r>
                <w:rPr>
                  <w:rStyle w:val="InternetLink"/>
                  <w:rFonts w:ascii="Times New Roman;Times;Serif" w:hAnsi="Times New Roman;Times;Serif"/>
                  <w:b/>
                  <w:sz w:val="20"/>
                </w:rPr>
                <w:t>Executive Compensation</w:t>
              </w:r>
            </w:hyperlink>
          </w:p>
        </w:tc>
        <w:tc>
          <w:tcPr>
            <w:tcW w:w="335" w:type="dxa"/>
            <w:tcBorders/>
            <w:vAlign w:val="center"/>
          </w:tcPr>
          <w:p>
            <w:pPr>
              <w:pStyle w:val="TableContents"/>
              <w:bidi w:val="0"/>
              <w:spacing w:before="0" w:after="283"/>
              <w:jc w:val="center"/>
              <w:rPr/>
            </w:pPr>
            <w:r>
              <w:rPr/>
              <w:t>13</w:t>
            </w:r>
          </w:p>
        </w:tc>
      </w:tr>
      <w:tr>
        <w:trPr/>
        <w:tc>
          <w:tcPr>
            <w:tcW w:w="755"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Item 12.</w:t>
            </w:r>
          </w:p>
        </w:tc>
        <w:tc>
          <w:tcPr>
            <w:tcW w:w="854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sz w:val="20"/>
                </w:rPr>
                <w:t>Security Ownership of Certain Beneficial Owners and Management and Related Stockholder Matters</w:t>
              </w:r>
            </w:hyperlink>
          </w:p>
        </w:tc>
        <w:tc>
          <w:tcPr>
            <w:tcW w:w="335" w:type="dxa"/>
            <w:tcBorders/>
            <w:shd w:fill="CCEEFF" w:val="clear"/>
            <w:vAlign w:val="center"/>
          </w:tcPr>
          <w:p>
            <w:pPr>
              <w:pStyle w:val="TableContents"/>
              <w:bidi w:val="0"/>
              <w:spacing w:before="0" w:after="283"/>
              <w:jc w:val="center"/>
              <w:rPr/>
            </w:pPr>
            <w:r>
              <w:rPr/>
              <w:t>23</w:t>
            </w:r>
          </w:p>
        </w:tc>
      </w:tr>
      <w:tr>
        <w:trPr/>
        <w:tc>
          <w:tcPr>
            <w:tcW w:w="755" w:type="dxa"/>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Item 13.</w:t>
            </w:r>
          </w:p>
        </w:tc>
        <w:tc>
          <w:tcPr>
            <w:tcW w:w="8540" w:type="dxa"/>
            <w:tcBorders/>
            <w:vAlign w:val="center"/>
          </w:tcPr>
          <w:p>
            <w:pPr>
              <w:pStyle w:val="TableContents"/>
              <w:bidi w:val="0"/>
              <w:spacing w:before="0" w:after="283"/>
              <w:jc w:val="left"/>
              <w:rPr/>
            </w:pPr>
            <w:hyperlink w:anchor="A_004">
              <w:r>
                <w:rPr>
                  <w:rStyle w:val="InternetLink"/>
                  <w:rFonts w:ascii="Times New Roman;Times;Serif" w:hAnsi="Times New Roman;Times;Serif"/>
                  <w:b/>
                  <w:sz w:val="20"/>
                </w:rPr>
                <w:t>Certain Relationships and Related Transactions, and Director Independence</w:t>
              </w:r>
            </w:hyperlink>
          </w:p>
        </w:tc>
        <w:tc>
          <w:tcPr>
            <w:tcW w:w="335" w:type="dxa"/>
            <w:tcBorders/>
            <w:vAlign w:val="center"/>
          </w:tcPr>
          <w:p>
            <w:pPr>
              <w:pStyle w:val="TableContents"/>
              <w:bidi w:val="0"/>
              <w:spacing w:before="0" w:after="283"/>
              <w:jc w:val="center"/>
              <w:rPr/>
            </w:pPr>
            <w:r>
              <w:rPr/>
              <w:t>27</w:t>
            </w:r>
          </w:p>
        </w:tc>
      </w:tr>
      <w:tr>
        <w:trPr/>
        <w:tc>
          <w:tcPr>
            <w:tcW w:w="755"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Item 14.</w:t>
            </w:r>
          </w:p>
        </w:tc>
        <w:tc>
          <w:tcPr>
            <w:tcW w:w="854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sz w:val="20"/>
                </w:rPr>
                <w:t>Principal Accountant Fees and Services</w:t>
              </w:r>
            </w:hyperlink>
          </w:p>
        </w:tc>
        <w:tc>
          <w:tcPr>
            <w:tcW w:w="335" w:type="dxa"/>
            <w:tcBorders/>
            <w:shd w:fill="CCEEFF" w:val="clear"/>
            <w:vAlign w:val="center"/>
          </w:tcPr>
          <w:p>
            <w:pPr>
              <w:pStyle w:val="TableContents"/>
              <w:bidi w:val="0"/>
              <w:spacing w:before="0" w:after="283"/>
              <w:jc w:val="center"/>
              <w:rPr/>
            </w:pPr>
            <w:r>
              <w:rPr/>
              <w:t>29</w:t>
            </w:r>
          </w:p>
        </w:tc>
      </w:tr>
      <w:tr>
        <w:trPr/>
        <w:tc>
          <w:tcPr>
            <w:tcW w:w="755" w:type="dxa"/>
            <w:tcBorders/>
            <w:vAlign w:val="center"/>
          </w:tcPr>
          <w:p>
            <w:pPr>
              <w:pStyle w:val="TableContents"/>
              <w:bidi w:val="0"/>
              <w:spacing w:before="0" w:after="283"/>
              <w:ind w:left="0" w:right="0" w:hanging="180"/>
              <w:jc w:val="left"/>
              <w:rPr/>
            </w:pPr>
            <w:r>
              <w:rPr/>
              <w:t> </w:t>
            </w:r>
          </w:p>
        </w:tc>
        <w:tc>
          <w:tcPr>
            <w:tcW w:w="854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r>
      <w:tr>
        <w:trPr/>
        <w:tc>
          <w:tcPr>
            <w:tcW w:w="9630" w:type="dxa"/>
            <w:gridSpan w:val="3"/>
            <w:tcBorders/>
            <w:shd w:fill="CCEEFF" w:val="clear"/>
            <w:vAlign w:val="center"/>
          </w:tcPr>
          <w:p>
            <w:pPr>
              <w:pStyle w:val="TableContents"/>
              <w:bidi w:val="0"/>
              <w:spacing w:before="0" w:after="283"/>
              <w:jc w:val="center"/>
              <w:rPr/>
            </w:pPr>
            <w:hyperlink w:anchor="A_009">
              <w:r>
                <w:rPr>
                  <w:rStyle w:val="InternetLink"/>
                  <w:rFonts w:ascii="Times New Roman;Times;Serif" w:hAnsi="Times New Roman;Times;Serif"/>
                  <w:b/>
                  <w:sz w:val="20"/>
                </w:rPr>
                <w:t>PART IV</w:t>
              </w:r>
            </w:hyperlink>
          </w:p>
        </w:tc>
      </w:tr>
      <w:tr>
        <w:trPr/>
        <w:tc>
          <w:tcPr>
            <w:tcW w:w="9630" w:type="dxa"/>
            <w:gridSpan w:val="3"/>
            <w:tcBorders/>
            <w:vAlign w:val="center"/>
          </w:tcPr>
          <w:p>
            <w:pPr>
              <w:pStyle w:val="TableContents"/>
              <w:bidi w:val="0"/>
              <w:spacing w:before="0" w:after="283"/>
              <w:jc w:val="center"/>
              <w:rPr/>
            </w:pPr>
            <w:r>
              <w:rPr/>
              <w:t> </w:t>
            </w:r>
          </w:p>
        </w:tc>
      </w:tr>
      <w:tr>
        <w:trPr/>
        <w:tc>
          <w:tcPr>
            <w:tcW w:w="755"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Item 15.</w:t>
            </w:r>
          </w:p>
        </w:tc>
        <w:tc>
          <w:tcPr>
            <w:tcW w:w="8540"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sz w:val="20"/>
                </w:rPr>
                <w:t>Exhibit and Financial Statement Schedules</w:t>
              </w:r>
            </w:hyperlink>
          </w:p>
        </w:tc>
        <w:tc>
          <w:tcPr>
            <w:tcW w:w="335" w:type="dxa"/>
            <w:tcBorders/>
            <w:shd w:fill="CCEEFF" w:val="clear"/>
            <w:vAlign w:val="center"/>
          </w:tcPr>
          <w:p>
            <w:pPr>
              <w:pStyle w:val="TableContents"/>
              <w:bidi w:val="0"/>
              <w:spacing w:before="0" w:after="283"/>
              <w:jc w:val="center"/>
              <w:rPr/>
            </w:pPr>
            <w:r>
              <w:rPr/>
              <w:t>30</w:t>
            </w:r>
          </w:p>
        </w:tc>
      </w:tr>
      <w:tr>
        <w:trPr/>
        <w:tc>
          <w:tcPr>
            <w:tcW w:w="755" w:type="dxa"/>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Item 16.</w:t>
            </w:r>
          </w:p>
        </w:tc>
        <w:tc>
          <w:tcPr>
            <w:tcW w:w="8540" w:type="dxa"/>
            <w:tcBorders/>
            <w:vAlign w:val="center"/>
          </w:tcPr>
          <w:p>
            <w:pPr>
              <w:pStyle w:val="TableContents"/>
              <w:bidi w:val="0"/>
              <w:spacing w:before="0" w:after="283"/>
              <w:jc w:val="left"/>
              <w:rPr/>
            </w:pPr>
            <w:hyperlink w:anchor="A_007">
              <w:r>
                <w:rPr>
                  <w:rStyle w:val="InternetLink"/>
                  <w:rFonts w:ascii="Times New Roman;Times;Serif" w:hAnsi="Times New Roman;Times;Serif"/>
                  <w:b/>
                  <w:sz w:val="20"/>
                </w:rPr>
                <w:t>Form 10–K Summary</w:t>
              </w:r>
            </w:hyperlink>
          </w:p>
        </w:tc>
        <w:tc>
          <w:tcPr>
            <w:tcW w:w="335"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8"/>
      <w:bookmarkEnd w:id="2"/>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1"/>
      <w:bookmarkEnd w:id="3"/>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certain biographical and other information regarding our executive officers and directors as of April 30, 2026.</w:t>
      </w:r>
    </w:p>
    <w:p>
      <w:pPr>
        <w:pStyle w:val="TextBody"/>
        <w:bidi w:val="0"/>
        <w:spacing w:before="0" w:after="0"/>
        <w:ind w:left="0" w:right="0" w:firstLine="720"/>
        <w:jc w:val="left"/>
        <w:rPr>
          <w:caps w:val="false"/>
          <w:smallCaps w:val="false"/>
        </w:rPr>
      </w:pPr>
      <w:r>
        <w:rPr>
          <w:caps w:val="false"/>
          <w:smallCaps w:val="false"/>
        </w:rPr>
        <w:t> </w:t>
      </w:r>
    </w:p>
    <w:tbl>
      <w:tblPr>
        <w:tblW w:w="8295" w:type="dxa"/>
        <w:jc w:val="left"/>
        <w:tblInd w:w="0" w:type="dxa"/>
        <w:tblLayout w:type="fixed"/>
        <w:tblCellMar>
          <w:top w:w="0" w:type="dxa"/>
          <w:left w:w="0" w:type="dxa"/>
          <w:bottom w:w="28" w:type="dxa"/>
          <w:right w:w="0" w:type="dxa"/>
        </w:tblCellMar>
      </w:tblPr>
      <w:tblGrid>
        <w:gridCol w:w="3785"/>
        <w:gridCol w:w="90"/>
        <w:gridCol w:w="380"/>
        <w:gridCol w:w="90"/>
        <w:gridCol w:w="3950"/>
      </w:tblGrid>
      <w:tr>
        <w:trPr/>
        <w:tc>
          <w:tcPr>
            <w:tcW w:w="3785" w:type="dxa"/>
            <w:tcBorders>
              <w:bottom w:val="single" w:sz="12" w:space="0" w:color="000000"/>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pBdr>
                <w:bottom w:val="single" w:sz="4"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90" w:type="dxa"/>
            <w:tcBorders/>
            <w:tcMar>
              <w:bottom w:w="0" w:type="dxa"/>
            </w:tcMar>
            <w:vAlign w:val="center"/>
          </w:tcPr>
          <w:p>
            <w:pPr>
              <w:pStyle w:val="TableContents"/>
              <w:bidi w:val="0"/>
              <w:spacing w:before="0" w:after="283"/>
              <w:jc w:val="left"/>
              <w:rPr/>
            </w:pPr>
            <w:r>
              <w:rPr/>
              <w:t> </w:t>
            </w:r>
          </w:p>
        </w:tc>
        <w:tc>
          <w:tcPr>
            <w:tcW w:w="3950" w:type="dxa"/>
            <w:tcBorders>
              <w:bottom w:val="single" w:sz="12" w:space="0" w:color="000000"/>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Position(s)</w:t>
            </w:r>
          </w:p>
        </w:tc>
      </w:tr>
      <w:tr>
        <w:trPr/>
        <w:tc>
          <w:tcPr>
            <w:tcW w:w="378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Executive Officers and Employee Directors:</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left"/>
              <w:rPr/>
            </w:pPr>
            <w:r>
              <w:rPr/>
              <w:t> </w:t>
            </w:r>
          </w:p>
        </w:tc>
      </w:tr>
      <w:tr>
        <w:trPr/>
        <w:tc>
          <w:tcPr>
            <w:tcW w:w="37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Jeet Mahal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Chief Executive Officer and Director</w:t>
            </w:r>
          </w:p>
        </w:tc>
      </w:tr>
      <w:tr>
        <w:trPr/>
        <w:tc>
          <w:tcPr>
            <w:tcW w:w="37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Herb Cross</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c>
          <w:tcPr>
            <w:tcW w:w="9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Corporate Secretary</w:t>
            </w:r>
          </w:p>
        </w:tc>
      </w:tr>
      <w:tr>
        <w:trPr/>
        <w:tc>
          <w:tcPr>
            <w:tcW w:w="378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Non-Employee Directors: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pPr>
            <w:r>
              <w:rPr/>
              <w:t> </w:t>
            </w:r>
          </w:p>
        </w:tc>
      </w:tr>
      <w:tr>
        <w:trPr/>
        <w:tc>
          <w:tcPr>
            <w:tcW w:w="37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Tom Wiggans</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w:t>
            </w:r>
          </w:p>
        </w:tc>
        <w:tc>
          <w:tcPr>
            <w:tcW w:w="9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Chairperson</w:t>
            </w:r>
          </w:p>
        </w:tc>
      </w:tr>
      <w:tr>
        <w:trPr/>
        <w:tc>
          <w:tcPr>
            <w:tcW w:w="37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Brun, M.D.</w:t>
            </w:r>
            <w:r>
              <w:rPr>
                <w:rFonts w:ascii="Times New Roman;Times;Serif" w:hAnsi="Times New Roman;Times;Serif"/>
                <w:position w:val="7"/>
                <w:sz w:val="16"/>
                <w:sz w:val="20"/>
              </w:rPr>
              <w:t>(2)(4)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37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Vishal Kapoor</w:t>
            </w:r>
            <w:r>
              <w:rPr>
                <w:rFonts w:ascii="Times New Roman;Times;Serif" w:hAnsi="Times New Roman;Times;Serif"/>
                <w:position w:val="7"/>
                <w:sz w:val="16"/>
                <w:sz w:val="20"/>
              </w:rPr>
              <w:t>(1)(2)(3)</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c>
          <w:tcPr>
            <w:tcW w:w="9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37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Svetlana Lucas, Ph.D.</w:t>
            </w:r>
            <w:r>
              <w:rPr>
                <w:rFonts w:ascii="Times New Roman;Times;Serif" w:hAnsi="Times New Roman;Times;Serif"/>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37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Christian Nolet</w:t>
            </w:r>
            <w:r>
              <w:rPr>
                <w:rFonts w:ascii="Times New Roman;Times;Serif" w:hAnsi="Times New Roman;Times;Serif"/>
                <w:position w:val="7"/>
                <w:sz w:val="16"/>
                <w:sz w:val="20"/>
              </w:rPr>
              <w:t>(2)(3)</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c>
          <w:tcPr>
            <w:tcW w:w="9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37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Judith Shizuru, M.D., Ph.D.</w:t>
            </w:r>
            <w:r>
              <w:rPr>
                <w:rFonts w:ascii="Times New Roman;Times;Serif" w:hAnsi="Times New Roman;Times;Serif"/>
                <w:position w:val="7"/>
                <w:sz w:val="16"/>
                <w:sz w:val="20"/>
              </w:rPr>
              <w:t>(4)</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37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Kurt von Emster</w:t>
            </w:r>
            <w:r>
              <w:rPr>
                <w:rFonts w:ascii="Times New Roman;Times;Serif" w:hAnsi="Times New Roman;Times;Serif"/>
                <w:position w:val="7"/>
                <w:sz w:val="16"/>
                <w:sz w:val="20"/>
              </w:rPr>
              <w:t>(1)(2)(3)(4)</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c>
          <w:tcPr>
            <w:tcW w:w="9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102"/>
        <w:gridCol w:w="481"/>
        <w:gridCol w:w="9622"/>
      </w:tblGrid>
      <w:tr>
        <w:trPr/>
        <w:tc>
          <w:tcPr>
            <w:tcW w:w="10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pPr>
            <w:r>
              <w:rPr/>
              <w:t>(1)</w:t>
            </w:r>
          </w:p>
        </w:tc>
        <w:tc>
          <w:tcPr>
            <w:tcW w:w="9622" w:type="dxa"/>
            <w:tcBorders/>
            <w:vAlign w:val="center"/>
          </w:tcPr>
          <w:p>
            <w:pPr>
              <w:pStyle w:val="TableContents"/>
              <w:bidi w:val="0"/>
              <w:spacing w:before="0" w:after="283"/>
              <w:jc w:val="both"/>
              <w:rPr/>
            </w:pPr>
            <w:r>
              <w:rPr/>
              <w:t>Member of the Nominating and Corporate Governance Committee</w:t>
            </w:r>
          </w:p>
        </w:tc>
      </w:tr>
    </w:tbl>
    <w:tbl>
      <w:tblPr>
        <w:tblW w:w="5000" w:type="pct"/>
        <w:jc w:val="left"/>
        <w:tblInd w:w="0" w:type="dxa"/>
        <w:tblLayout w:type="fixed"/>
        <w:tblCellMar>
          <w:top w:w="0" w:type="dxa"/>
          <w:left w:w="0" w:type="dxa"/>
          <w:bottom w:w="0" w:type="dxa"/>
          <w:right w:w="0" w:type="dxa"/>
        </w:tblCellMar>
      </w:tblPr>
      <w:tblGrid>
        <w:gridCol w:w="157"/>
        <w:gridCol w:w="743"/>
        <w:gridCol w:w="9305"/>
      </w:tblGrid>
      <w:tr>
        <w:trPr/>
        <w:tc>
          <w:tcPr>
            <w:tcW w:w="15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pPr>
            <w:r>
              <w:rPr/>
              <w:t>(2)</w:t>
            </w:r>
          </w:p>
        </w:tc>
        <w:tc>
          <w:tcPr>
            <w:tcW w:w="9305" w:type="dxa"/>
            <w:tcBorders/>
            <w:vAlign w:val="center"/>
          </w:tcPr>
          <w:p>
            <w:pPr>
              <w:pStyle w:val="TableContents"/>
              <w:bidi w:val="0"/>
              <w:spacing w:before="0" w:after="283"/>
              <w:jc w:val="both"/>
              <w:rPr/>
            </w:pPr>
            <w:r>
              <w:rPr/>
              <w:t>Member of the Compensation Committee</w:t>
            </w:r>
          </w:p>
        </w:tc>
      </w:tr>
    </w:tbl>
    <w:tbl>
      <w:tblPr>
        <w:tblW w:w="5000" w:type="pct"/>
        <w:jc w:val="left"/>
        <w:tblInd w:w="0" w:type="dxa"/>
        <w:tblLayout w:type="fixed"/>
        <w:tblCellMar>
          <w:top w:w="0" w:type="dxa"/>
          <w:left w:w="0" w:type="dxa"/>
          <w:bottom w:w="0" w:type="dxa"/>
          <w:right w:w="0" w:type="dxa"/>
        </w:tblCellMar>
      </w:tblPr>
      <w:tblGrid>
        <w:gridCol w:w="194"/>
        <w:gridCol w:w="914"/>
        <w:gridCol w:w="9097"/>
      </w:tblGrid>
      <w:tr>
        <w:trPr/>
        <w:tc>
          <w:tcPr>
            <w:tcW w:w="19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pPr>
            <w:r>
              <w:rPr/>
              <w:t>(3)</w:t>
            </w:r>
          </w:p>
        </w:tc>
        <w:tc>
          <w:tcPr>
            <w:tcW w:w="9097" w:type="dxa"/>
            <w:tcBorders/>
            <w:vAlign w:val="center"/>
          </w:tcPr>
          <w:p>
            <w:pPr>
              <w:pStyle w:val="TableContents"/>
              <w:bidi w:val="0"/>
              <w:spacing w:before="0" w:after="283"/>
              <w:jc w:val="both"/>
              <w:rPr/>
            </w:pPr>
            <w:r>
              <w:rPr/>
              <w:t>Member of the Audit Committee</w:t>
            </w:r>
          </w:p>
        </w:tc>
      </w:tr>
    </w:tbl>
    <w:tbl>
      <w:tblPr>
        <w:tblW w:w="5000" w:type="pct"/>
        <w:jc w:val="left"/>
        <w:tblInd w:w="0" w:type="dxa"/>
        <w:tblLayout w:type="fixed"/>
        <w:tblCellMar>
          <w:top w:w="0" w:type="dxa"/>
          <w:left w:w="0" w:type="dxa"/>
          <w:bottom w:w="0" w:type="dxa"/>
          <w:right w:w="0" w:type="dxa"/>
        </w:tblCellMar>
      </w:tblPr>
      <w:tblGrid>
        <w:gridCol w:w="122"/>
        <w:gridCol w:w="579"/>
        <w:gridCol w:w="9504"/>
      </w:tblGrid>
      <w:tr>
        <w:trPr/>
        <w:tc>
          <w:tcPr>
            <w:tcW w:w="12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pPr>
            <w:r>
              <w:rPr/>
              <w:t>(4)</w:t>
            </w:r>
          </w:p>
        </w:tc>
        <w:tc>
          <w:tcPr>
            <w:tcW w:w="9504" w:type="dxa"/>
            <w:tcBorders/>
            <w:vAlign w:val="center"/>
          </w:tcPr>
          <w:p>
            <w:pPr>
              <w:pStyle w:val="TableContents"/>
              <w:bidi w:val="0"/>
              <w:spacing w:before="0" w:after="283"/>
              <w:jc w:val="both"/>
              <w:rPr/>
            </w:pPr>
            <w:r>
              <w:rPr/>
              <w:t>Member of the Research and Development Committee</w:t>
            </w:r>
          </w:p>
        </w:tc>
      </w:tr>
    </w:tbl>
    <w:tbl>
      <w:tblPr>
        <w:tblW w:w="5000" w:type="pct"/>
        <w:jc w:val="left"/>
        <w:tblInd w:w="0" w:type="dxa"/>
        <w:tblLayout w:type="fixed"/>
        <w:tblCellMar>
          <w:top w:w="0" w:type="dxa"/>
          <w:left w:w="0" w:type="dxa"/>
          <w:bottom w:w="0" w:type="dxa"/>
          <w:right w:w="0" w:type="dxa"/>
        </w:tblCellMar>
      </w:tblPr>
      <w:tblGrid>
        <w:gridCol w:w="296"/>
        <w:gridCol w:w="740"/>
        <w:gridCol w:w="9169"/>
      </w:tblGrid>
      <w:tr>
        <w:trPr/>
        <w:tc>
          <w:tcPr>
            <w:tcW w:w="29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pPr>
            <w:r>
              <w:rPr/>
              <w:t>*</w:t>
            </w:r>
          </w:p>
        </w:tc>
        <w:tc>
          <w:tcPr>
            <w:tcW w:w="9169" w:type="dxa"/>
            <w:tcBorders/>
            <w:vAlign w:val="center"/>
          </w:tcPr>
          <w:p>
            <w:pPr>
              <w:pStyle w:val="TableContents"/>
              <w:bidi w:val="0"/>
              <w:spacing w:before="0" w:after="283"/>
              <w:jc w:val="both"/>
              <w:rPr/>
            </w:pPr>
            <w:r>
              <w:rPr/>
              <w:t>Independent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 and Employee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Jeet Mahal</w:t>
      </w:r>
      <w:r>
        <w:rPr>
          <w:rFonts w:ascii="Times New Roman;Times;Serif" w:hAnsi="Times New Roman;Times;Serif"/>
          <w:b w:val="false"/>
          <w:i w:val="false"/>
          <w:caps w:val="false"/>
          <w:smallCaps w:val="false"/>
          <w:sz w:val="20"/>
        </w:rPr>
        <w:t>. Mr. Mahal has served as our President, Chief Executive Officer and a member of our Board of Directors (“Board”) since January 2026. Prior to that, Mr. Mahal served as our Chief Operating Officer from March 2022. He served as our Chief Financial Officer and Corporate Secretary from September 2021 to September 2023 and as our Chief Business Officer from September 2021 to March 2022. Prior to that, Mr. Mahal had served as our Chief Financial and Business Officer since December 2019. Prior to joining our Company, Mr. Mahal worked at Portola Pharmaceuticals, Inc. from August 2008 to December 2019, where Mr. Mahal held a number of positions of increasing leadership, most recently as Vice President, Strategic Marketing from January 2019 to December 2019 and Vice President, Business Development from February 2013 to December 2018. While at Portola Pharmaceuticals, Inc., Mr. Mahal led the execution of multiple business development partnerships for Andexxa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Bevyxxa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cerdulatinib. Mr. Mahal also played a key role in the company’s equity financings, including its initial public offering and multiple royalty transactions. Earlier in his career, from January 2006 to September 2008, Mr. Mahal was Director, Business and New Product Development, at Johnson &amp; Johnson on the cardiovascular in-licensing and Xarelto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product development teams. Mr. Mahal started his career in the drug development laboratories at COR Therapeutics. Mr. Mahal holds a Bachelor’s degree in Molecular and Cell Biology from U.C. Berkeley, a Master’s degree in Engineering from North Carolina State University, a Master’s degree in Molecular and Cell Biology from the Illinois Institute of Technology and an MBA from Duke University. We believe that Mr. Mahal is qualified to serve as a member of our Board because of his depth of experience in oncology and cell therapy development and commercialization, as well as deep relationships across the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Herb Cross. </w:t>
      </w:r>
      <w:r>
        <w:rPr>
          <w:rFonts w:ascii="Times New Roman;Times;Serif" w:hAnsi="Times New Roman;Times;Serif"/>
          <w:b w:val="false"/>
          <w:i w:val="false"/>
          <w:caps w:val="false"/>
          <w:smallCaps w:val="false"/>
          <w:sz w:val="20"/>
        </w:rPr>
        <w:t>Mr. Cross has served as our Chief Financial Officer and Corporate Secretary since September 2023. Previously, Mr. Cross had served as the Chief Financial Officer of Atreca, Inc., a biotechnology company, since February 2019. From November 2017 to June 2018, he served as Chief Financial Officer of ARMO Biosciences, Inc., a biotechnology company. From February 2016 to November 2017, Mr. Cross served as Chief Financial Officer of Balance Therapeutics, Inc., a biotechnology company. From October 2013 to November 2015, he served as Chief Financial Officer of KaloBios Pharmaceuticals, Inc., a biotechnology company, and interim Chief Executive Officer from January 2015 to November 2015. From November 2010 to June 2013, Mr. Cross served as Chief Financial Officer of Affymax, Inc., a biotechnology company. He served as a director of Apexigen, Inc. from July 2022 to August 2023 and Apexigen America, Inc. from October 2019 to August 2023. Mr. Cross received a B.S. in Business Administration from the University of California, Berkeley and is a certified public accountant (inactive).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Tom Wiggans. </w:t>
      </w:r>
      <w:r>
        <w:rPr>
          <w:rFonts w:ascii="Times New Roman;Times;Serif" w:hAnsi="Times New Roman;Times;Serif"/>
          <w:b w:val="false"/>
          <w:i w:val="false"/>
          <w:caps w:val="false"/>
          <w:smallCaps w:val="false"/>
          <w:sz w:val="20"/>
        </w:rPr>
        <w:t>Mr. Wiggans has served as a member of our Board since November 2023. He was appointed as Executive Chairperson of the Board in January 2026 and served as Chairperson of the Board from November 2023 until his appointment as Executive Chairperson. He most recently served as the Chief Executive Officer and chair of the board of directors of Pardes Biosciences, Inc. (Nasdaq: PRDS) from March 2022 until its merger with MediPacific, Inc. in August 2023. Mr. Wiggans founded Dermira, Inc. (Nasdaq: DERM) in August 2010, and served as its Chief Executive Officer and a member of its board of directors from August 2010 and as the chairman of its board of directors from April 2014 until Dermira’s acquisition by Eli Lilly and Company in 2020. From October 2007, Mr. Wiggans served as chairman of the board of directors of Peplin, Inc. and in August 2008, he became its Chief Executive Officer, serving in these positions until Peplin’s acquisition by LEO Pharma Inc. in November 2009. Previously, Mr. Wiggans served as chief executive officer of Connetics USA from 1994, and as chairman of the board of directors of Connetics from January 2006 until December 2006 when Connetics was acquired by Stiefel Laboratories, Inc. From 1992 to 1994, Mr. Wiggans served as President and Chief Operating Officer of CytoTherapeutics, Inc., a biotechnology company. From 1980 to 1992, Mr. Wiggans served at Ares-Serono S.A. in various management positions, including as President of its U.S. pharmaceutical operations and Managing Director of its U.K. pharmaceutical operations. Mr. Wiggans began his career with Eli Lilly and Company. He currently serves on the board of directors of Annexon, Inc. (Nasdaq: ANNX), a position he has held since February 2017. Mr. Wiggans has previously served on the boards of various industry organizations, educational institutions and private and public companies, including service on the boards of directors of Cymabay Therapeutics, Inc. (Nasdaq: CBAY) from April 2021 until its acquisition by Gilead Sciences, Inc. in March 2024, Onyx Pharmaceuticals Inc. from March 2005 until its acquisition by Amgen Inc. in October 2013, Sangamo Biosciences, Inc. from June 2008 until June 2012, Somaxon Pharmaceuticals, Inc. from June 2008 until May 2012, Forma Therapeutics Holdings, Inc. from September 2020 until its acquisition by Novo Nordisk A/S in October 2022, and as chairman of the board of directors of Excaliard Pharmaceuticals, Inc. from October 2010 until its acquisition by Pfizer Inc. in December 2011. Mr. Wiggans was instrumental in the formation of the Biotechnology Industry Organization and served as a member of its board of directors for many years. He is currently a member of the Board of Trustees of the University of Kansas Endowment Association. Mr. Wiggans holds a B.S. in Pharmacy from the University of Kansas and an M.B.A. from Southern Methodist University. We believe that Mr. Wiggans is qualified to serve as a member of our Board because of his leadership and business and product development expertise, as well as his extensive experience in the pharmaceutical and therapeutics industry at both the executive and board level.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Scott Brun, M.D. </w:t>
      </w:r>
      <w:r>
        <w:rPr>
          <w:rFonts w:ascii="Times New Roman;Times;Serif" w:hAnsi="Times New Roman;Times;Serif"/>
          <w:b w:val="false"/>
          <w:i w:val="false"/>
          <w:caps w:val="false"/>
          <w:smallCaps w:val="false"/>
          <w:sz w:val="20"/>
        </w:rPr>
        <w:t>Dr. Brun has served as a member of our Board since June 2023. Dr. Brun is currently President at Gold Mast Consulting, LLC, an advisory firm he founded in 2019 to provide technical advice and strategic guidance related to biopharmaceutical research and development, pipeline portfolio management, commercialization of new therapeutics and strategic communications related to R&amp;D activities. Dr. Brun serves as a Venture Partner at Abingworth LLP and as a member of the Strategic Advisory Board of Galapagos NV. Prior to his current roles, Dr. Brun had two decades of experience in various leadership roles at AbbVie, Inc., including 15 years at the predecessor company, Abbott Laboratories. The majority of his career has been focused on leading teams and clinical development organizations across a broad variety of therapeutic areas including autoimmune, neurologic and renal, among others. He was most recently Corporate Vice President of Scientific Affairs and Head of AbbVie Ventures, a corporate venture fund responsible for investment opportunities within AbbVie’s R&amp;D therapeutic areas as well as technology platforms of interest from March 2016 to March 2019. Previously, Dr. Brun served as Corporate Vice President and Head of Pharmaceutical Development at AbbVie from November 2013 to March 2016. During his tenure at AbbVie, Dr. Brun oversaw a global organization with responsibilities for AbbVie’s entire portfolio of early-and late-stage clinical pre-registration pipeline compounds as well as marketed compounds within oncology, neurology, immunology, renal, infectious disease, and women’s and men’s health therapeutic areas. Prior to joining AbbVie, Dr. Brun spent over 15 years at Abbott Laboratories, where he held positions of increasing leadership responsibility in drug development within the R&amp;D organization. Dr. Brun is a member of the boards of directors of Atsena Therapeutics and Trishula Therapeutics, Inc., both private, clinical-stage biopharmaceutical companies, Forte Biosciences, Inc. (Nasdaq: FBRX), a clinical-stage company focused on autoimmune diseases, and Cabaletta Bio, Inc. (Nasdaq: CABA), a clinical-stage biotechnology company focused on the discovery and development of engineered T cell therapies for autoimmune diseases. Previously, Dr. Brun served as a Senior Advisor to the business development team at Horizon Therapeutics plc (Nasdaq: HZNP) from 2020 to 2023. Dr. Brun received his B.S. in Biochemistry from the University of Illinois at Urbana-Champaign and earned his M.D. from the Johns Hopkins University School of Medicine. He completed his residency in ophthalmology at the Massachusetts Eye and Ear Infirmary, Harvard Medical School. We believe that Dr. Brun is qualified to serve as a member of our Board because of his extensive background in research, development and commercialization of product candidates, as well as his current and prior service with pharmaceutical and biotechnology companies on matters pertaining to strategy and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Vishal Kapoor. </w:t>
      </w:r>
      <w:r>
        <w:rPr>
          <w:rFonts w:ascii="Times New Roman;Times;Serif" w:hAnsi="Times New Roman;Times;Serif"/>
          <w:b w:val="false"/>
          <w:i w:val="false"/>
          <w:caps w:val="false"/>
          <w:smallCaps w:val="false"/>
          <w:sz w:val="20"/>
        </w:rPr>
        <w:t>Mr. Kapoor has served as a member of our Board since February 2023. He has been a Partner of Avego Management, LLC, an affiliate of Velan Capital Partners LP, since January 2021, leading their life sciences venture investing strategy. He was previously with Amplitude Healthcare Acquisition Corporation from January 2020 until our merger with it in September 2021. Prior to that, Mr. Kapoor was Chief Business Officer of Iveric bio, Inc. (formerly known as Ophthotech) from April 2015 to December 2019. At Iveric bio, Inc., he was responsible for acquiring an industry-leading portfolio of gene therapy and therapeutic assets in ophthalmology. From October 2014 to April 2015, Mr. Kapoor was Director of Corporate Development at NPS Pharmaceuticals, Inc., which Shire PLC acquired in 2015 for approximately $5.2 billion. From 2005 to 2014, Mr. Kapoor spent nine years at Genentech, Inc. in various positions, including leading strategy for ophthalmology and central nervous system pipeline assets, Lucentis marketing, commercial assessments for business development and medical affairs. In addition, Mr. Kapoor has previously worked at Pfizer Inc. Mr. Kapoor received an MBA in Finance and Management from Columbia Business School in 2004 and a B.A. in Biology from Columbia University in 1997. We believe that Mr. Kapoor is qualified to serve as a member of our Board in light of his years of experience in the life sciences industry, including with respect to acquisition, strategy, marketing and business development.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Svetlana Lucas, Ph.D. </w:t>
      </w:r>
      <w:r>
        <w:rPr>
          <w:rFonts w:ascii="Times New Roman;Times;Serif" w:hAnsi="Times New Roman;Times;Serif"/>
          <w:b w:val="false"/>
          <w:i w:val="false"/>
          <w:caps w:val="false"/>
          <w:smallCaps w:val="false"/>
          <w:sz w:val="20"/>
        </w:rPr>
        <w:t>Dr. Lucas has served as a member of our Board since June 2024. Dr. Lucas has served as the Chief Business Officer at Scribe Therapeutics Inc., a genetic medicine company, since June 2019, where she established multiple strategic collaborations with pharmaceutical companies, including Sanofi and Prevail Therapeutics, a subsidiary of Eli Lilly and Company. Previously, she served as Senior Vice President, Business Development at Tizona Therapeutics, Inc. (“Tizona”), a clinical-stage immunotherapy company, from January 2019 to June 2019, and prior to that as Vice President, Business Development from June 2015 to January 2019, where she was responsible for the company’s business development strategy and transactions, including a global strategic collaboration with AbbVie Inc. Before joining Tizona, Dr. Lucas was Head of Oncology and Inflammation External R&amp;D Team at Amgen Inc. from August 2014 to July 2015 where she oversaw business development activities, including Amgen’s strategic cancer immunotherapy research collaboration and licensing agreement with Kite Pharma, and collaborated with Amgen Ventures on several investments in oncology and inflammation. Dr. Lucas joined Amgen following the acquisition of Onyx Pharmaceuticals, Inc., where she served as a Director, Corporate Development from September 2012 to August 2014 and spearheaded the company’s oncology partnering strategy and due diligence of new opportunities. She held positions of increasing responsibility in strategy, business development, and strategic marketing at Amgen from January 2003 to September 2005, PDL BioPharma/Facet Biotech (acquired by Abbvie) from September 2005 to July 2010, and XOMA Corporation from July 2010 to September 2012. From February 2001 to January 2003, Dr. Lucas was a strategy consultant in the Life Sciences practice of McKinsey &amp; Company, Inc. She received her undergraduate degree in Biology from Moscow State University, and her Ph.D. in Molecular Biology and Biochemistry from the California Institute of Technology. Dr. Lucas has served on the board of directors of aTyr Pharma, Inc. (Nasdaq: ATYR) since June 2019 and as an advisor to Radar Therapeutics since October 2023. We believe that Dr. Lucas is qualified to serve as a member of our Board due to her extensive business development experience in the biotherapeutics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Christian W. Nolet. </w:t>
      </w:r>
      <w:r>
        <w:rPr>
          <w:rFonts w:ascii="Times New Roman;Times;Serif" w:hAnsi="Times New Roman;Times;Serif"/>
          <w:b w:val="false"/>
          <w:i w:val="false"/>
          <w:caps w:val="false"/>
          <w:smallCaps w:val="false"/>
          <w:sz w:val="20"/>
        </w:rPr>
        <w:t>Mr. Nolet has served as a member of our Board since September 2021. Mr. Nolet has more than 45 years of experience in various leadership roles in the audit services profession and in the life sciences industry. Mr. Nolet was an audit partner at Ernst &amp; Young LLP (“EY”), a professional services firm, from November 2001 to June 2019. While at EY, Mr. Nolet led the West EY Life Sciences Industry Group. He served on both the Executive Committee and Finance Committee (Chair) of the California Life Sciences industry association from 2000 through February 2024. Mr. Nolet was also a member of the Finance &amp; Investment Committee and Emerging Companies Section of BIO (the Biotechnology Innovation Organization). Prior to EY, Mr. Nolet was a partner at PricewaterhouseCoopers LLP from 1991 to 2001. Mr. Nolet holds a B.S. in Accounting from San Diego State University and is a retired Certified Public Accountant in California. Mr. Nolet has served on the board of directors of Revance Therapeutics, Inc. (Nasdaq: RVNC) from July 2019 to its acquisition in February 2025, and currently serves on the board of directors of ArriVent Biopharma, Inc. (Nasdaq: AVBP) since September 2023. He was previously on the board of directors of PolarityTE, Inc. (Nasdaq: PTE) from April 2020 to January 2023 and on the board of directors of Ambrx Biopharma Inc. (Nasdaq: AMAM) from January 2021 to November 2021. Mr. Nolet also served on the board of directors of Viela Bio, Inc. (Nasdaq: VIE) from August 2019 until it was acquired in March 2021. We believe that Mr. Nolet is qualified to serve as a member of our Board because of his experience with multiple life sciences companies ranging from growing venture-capital-backed start-ups to Fortune 100 companies, and his financial expertise as a former audit partner and retired California Certified Public Accountant.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Judith Shizuru, M.D., Ph.D</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Dr. Shizuru has served as a member of our Board since September 2021. Dr. Shizuru is our scientific co-founder and served as a member of the board of directors of our Company prior to the merger with Amplitude Healthcare Acquisition Corporation (the “Pre-Merger Board”) from March 2018 to September 2021 and as Chair of its Scientific Advisory Board from December 2019 to September 2024. Dr. Shizuru is a Professor of Medicine (Blood and Marrow Transplantation) and Pediatrics (Stem Cell Transplantation) at Stanford. Dr. Shizuru is a member of the Stanford Blood and Marrow Transplantation and Cellular Therapy (“BMT-CT”) faculty, the Stanford Immunology Program, the Stanford Cancer Institute and the Institute for Stem Cell Biology and Regenerative Medicine. Dr. Shizuru received a Bachelor’s degree from Bennington College and an M.D. and Ph.D. from the Stanford University School of Medicine. She trained as a resident in adult internal medicine at the University of California, San Francisco, and in the sub-specialty of hematology at Stanford. Dr. Shizuru has been attending on the Stanford BMT-CT clinical service since 1997, and she oversees a research laboratory. Her laboratory is focused on understanding the cellular and molecular basis of resistance to engraftment of transplanted allogeneic hematopoietic cells, and the way in which bone marrow grafts modify immune responses including the induction of immune tolerance. Dr. Shizuru’s laboratory has developed the translational science of anti-CD117 antibodies, and was the first to advance an anti-human CD117 antibody as a transplant conditioning agent from the laboratory to the clinic. Dr. Shizuru has over 175 publications in the fields of immunology and hematopoietic cell transplantation. We believe that Dr. Shizuru is qualified to serve as a member of our Board because of her expertise in immunology, antibody and cellular therapies, and transplant conditioning agents, as well as her knowledge of our technology and product candidates, having co-founded our Company in 2018.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Kurt von Emster</w:t>
      </w:r>
      <w:r>
        <w:rPr>
          <w:rFonts w:ascii="Times New Roman;Times;Serif" w:hAnsi="Times New Roman;Times;Serif"/>
          <w:b w:val="false"/>
          <w:i w:val="false"/>
          <w:caps w:val="false"/>
          <w:smallCaps w:val="false"/>
          <w:sz w:val="20"/>
        </w:rPr>
        <w:t>. Mr. von Emster has served as a member of our Board since September 2021. Mr. von Emster served on the Pre-Merger Board (as defined below) from November 2019 to September 2021. Mr. von Emster has been a Partner at Abingworth LLP, a venture capital firm, since January 2015 and as Managing Partner since July 2015. Prior to joining Abingworth, Mr. von Emster was a co-founder and Partner of venBio LLC, a venture capital firm, from May 2009 until January 2015. In 2001, Mr. von Emster became a General Partner at MPM Capital, a leading biotechnology private equity firm, and launched the MPM BioEquities Fund, a crossover public and private biotechnology hedge fund. He was the portfolio manager of this fund from inception in 2001 until his departure in 2009. Mr. von Emster’s investment career started in 1989 at Franklin Templeton Investments where he founded and managed several health and biotechnology funds in the 1990s. Mr. von Emster has served on the boards of directors of Tizona Therapeutics, Inc. since November 2020, Orbus Therapeutics, Inc. since July 2020, Launch Therapeutics since August 2021, SFJ Pharmaceuticals Inc. since April 2020 and Iambic Therapeutics since November 2023. He previously served as a director of CymaBay Therapeutics, Inc. (Nasdaq: CBAY) from April 2009 until its acquisition by Gilead Sciences, Inc. in March 2024, CRISPR Therapeutics AG (Nasdaq: CRSP) from March 2015 to June 2019, Vera Therapeutics, Inc. (Nasdaq: VERA) from November 2020 to May 2022, Vaxcyte, Inc. (Nasdaq: PCVX) from June 2019 to June 2022 and Trishula Therapeutics, Inc. from December 2020 to November 2021. Mr. von Emster holds a B.S. in Business and Economics from the University of California, Santa Barbara and is a Chartered Financial Analyst (CFA). We believe that Mr. von Emster is qualified to serve as a member of our Board because of his extensive financial and investment experience, as well as his experience serving on the boards of directors of other therapeutic and pharmaceutical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directors or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 of Our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responsibilities of our Board are to provide oversight, strategic guidance, counseling and direction to our management. Our Board meets on a regular basis and on an ad hoc basis as required. Our Board currently consists of eight directors. Our Certificate of Incorporation provides that the authorized number of directors may be changed only by resolutions approved by a majority of the authorized number of directors constituting our Board. In accordance with our Certificate of Incorporation, our Board is divided into three classes with staggered three-year terms. At each annual meeting of stockholders, the successors to directors whose terms are expiring will be elected to serve from the time of election and qualification until the third annual meeting following election. Our directors are divided among the three classes as follows: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Class II directors are Dr. Shizuru and Mr. Wiggans, and their terms will expire at our annual meeting of stockholders to be held in 2026;</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Class III directors are Mr. Mahal, Mr. Nolet and Dr. Lucas, and their terms will expire at our annual meeting of stockholders to be held in 2027;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Class I directors are Mr. von Emster, Dr. Brun and Mr. Kapoor, and their terms will expire at our annual meeting of stockholders to be held in 2028.</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Mr. Wiggans served as the non-employee Chairperson of our Board. Effective January 5, 2026, Mr. Wiggans was appointed as Executive Chairperson of our Board concurrently with the appointment of Mr. Mahal as our Chief Executive Officer and President. In his prior role as Chairperson of our Board and in his current role as Executive Chairperson of our Board, Mr. Wiggans has authority, among other things, to call and preside over our Board meetings, to set meeting agendas and to determine materials to be distributed to our Board. As the roles of Executive Chairperson of our Board and Chief Executive Officer are separated between Mr. Wiggans and Mr. Mahal, respectively, our Board believes our leadership structure enhances the accountability of our Chief Executive Officer to our Board and encourages balanced decision making. In addition, our Board believes that this structure provides an environment in which the independent directors are fully informed, have significant input into the content of Board meetings, and can provide objective and thoughtful oversight of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committees of our Board, other than the Research and Development Committee of our Board (the “Research and Development Committee”), is comprised solely of independent directors that provide strong independent leadership for each of these committees. Our independent directors generally meet in executive session after each regular meeting of our Board. At each such meeting, the presiding director for each executive session of our Board is an independent or non-employee director. Our Board will continue to evaluate this leadership structure on an ongoing basis based on factors such as the experience of the applicable individuals and the current business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Meetings and Committees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establish the authorized number of directors from time to time by resolutions adopted by a majority of the authorized number of directors constituting our Board. Our Board currently consists of eight members.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our fiscal year ended December 31, 2025, our Board held 22 meetings (including regularly scheduled and special meetings) and acted by written consent three times. Each director attended at least 75% of the aggregate of (i) the total number of meetings of our Board held during the period for which the director had been a director and (ii) the total number of meetings held by all committees of our Board on which the director served during the periods that the director served.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established an Audit Committee, a Compensation Committee, a Nominating and Corporate Governance Committee and a Research and Development Committee. The composition and responsibilities of each of the committees of our Board are described below. Each committee of our Board has a written charter approved by our Board. Copies of each charter are posted in the “Investors-Corporate Governance” portion of our website at ir.jaspertherapeutics.com/corporate-governance/documents-charters. The reference to our website address does not constitute incorporation by reference of the information contained at or available or accessible through our website, and you should not consider it to be a part of this Annual Report on Form 10-K. Members serve on these committees until their resignation or until otherwise determined by our Board. Our Board may establish other committees as it deems necessary or appropriate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our Board (the “Audit Committee”) consists of Mr. Nolet, Mr. von Emster and Mr. Kapoor. Our Board has determined that each member of our Audit Committee satisfies the independence requirements under Nasdaq listing standards and Rule 10A-3(b)(1) of the Exchange Act. The chairperson of our Audit Committee is Mr. Nolet. Our Board has determined that Mr. Nolet is an “audit committee financial expert” within the meaning of SEC regulations. Each member of our Audit Committee can read and understand fundamental financial statements in accordance with applicable requirements. In arriving at these determinations, our Board has examined each Audit Committee member’s scope of experience and the nature of his employment.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our Audit Committee is to discharge the responsibilities of our Board with respect to our corporate accounting and financial reporting processes, systems of internal control and financial statement audits, and to oversee our independent registered public accounting firm. Specific responsibilities of our Audit Committee include, among other things: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evaluating, appointing, determining the compensation of, retaining, overseeing and evaluating our independent registered public accounting firm and any other registered public accounting firm engaged for the purpose of performing other review or attest services for us;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prior to commencement of the audit engagement, reviewing and discussing with the independent registered public accounting firm a written disclosure by the prospective independent registered public accounting firm of all relationships between us, or persons in financial oversight roles with us, and such independent registered public accounting firm or their affiliates;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determining and approving engagements of the independent registered public accounting firm, prior to commencement of the engagement, and the scope of and plans for the audit;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monitoring the rotation of partners of the independent registered public accounting firm on our audit engagement;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with management and the independent registered public accounting firm any fraud that includes management or other employees who have a significant role in our internal control over financial reporting and any significant changes in internal controls;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establishing and overseeing procedures for the receipt, retention and treatment of complaints regarding accounting, internal accounting controls or auditing matters and the confidential and anonymous submission by employees of concerns regarding questionable accounting or auditing matters;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the results of management’s efforts to monitor compliance with our programs and policies designed to ensure compliance with laws and rules;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overseeing our programs, policies, and procedures related to our information technology systems, including information asset security, data protection, data privacy, cybersecurity and back-up of information systems, and the steps taken to monitor, mitigate and control such exposures and our plans to mitigate cybersecurity risks and to respond to data breaches;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providing oversight regarding our policies with respect to risk assessment and risk management, including enterprise risk and risks pertaining to our financial, accounting and tax matters;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274"/>
        <w:gridCol w:w="9838"/>
      </w:tblGrid>
      <w:tr>
        <w:trPr/>
        <w:tc>
          <w:tcPr>
            <w:tcW w:w="9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w:t>
            </w:r>
          </w:p>
        </w:tc>
        <w:tc>
          <w:tcPr>
            <w:tcW w:w="9838" w:type="dxa"/>
            <w:tcBorders/>
            <w:vAlign w:val="center"/>
          </w:tcPr>
          <w:p>
            <w:pPr>
              <w:pStyle w:val="TableContents"/>
              <w:bidi w:val="0"/>
              <w:spacing w:before="0" w:after="283"/>
              <w:jc w:val="both"/>
              <w:rPr/>
            </w:pPr>
            <w:r>
              <w:rPr/>
              <w:t>overseeing insurance coverage for our directors and executive officers;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and discussing with management and the independent registered public accounting firm the results of the annual audit and the independent registered public accounting firm’s assessment of the quality and acceptability of our accounting principles and practices and all other matters required to be communicated to our Audit Committee by the independent registered public accounting firm under generally accepted accounting standards, the results of the independent registered public accounting firm’s review of our quarterly financial information prior to public disclosure and our disclosures in our periodic reports filed with the SEC.</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reviews, discusses and assesses its own performance and composition at least annually. Our Audit Committee also periodically reviews and assesses the adequacy of its charter, including its role and responsibilities as outlined in its charter, and recommends any proposed changes to our Board for its consideration and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held five meetings during fiscal year 2025 and acted by written consent one time during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Mr. von Emster, Mr. Nolet, Mr. Kapoor and Dr. Brun. The chairperson of our Compensation Committee is Mr. Nolet. Our Board has determined that each member of our Compensation Committee is independent under the listing standards of Nasdaq and a “non-employee director” as defined in Rule 16b-3 promulgated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our Compensation Committee is to discharge the responsibilities of our Board in overseeing our compensation policies, plans and programs and to review and determine the compensation to be paid to our executive officers, directors and other senior management, as appropriate. Specific responsibilities of our Compensation Committee include, among other things: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modifying and approving (or, if it deems appropriate, making recommendations to our Board regarding) our overall compensation strategy and policies, and reviewing, modifying and approving corporate performance goals and objectives relevant to the compensation of our executive officers and other senior management;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determining and approving (or, if it deems appropriate, recommending to our Board for determination and approval) the compensation and terms of employment of our Chief Executive Officer, including seeking to achieve an appropriate level of risk and reward in determining the long-term incentive component of the Chief Executive Officer’s compensation;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determining and approving (or, if it deems appropriate, recommending to our Board for determination and approval) the compensation and terms of employment of our executive officers and other members of senior management, including seeking to achieve an appropriate level of risk and reward;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and approving (or, if it deems appropriate, making recommendations to our Board regarding) the terms of employment agreements, severance agreements, change-of-control protections and other compensatory arrangements for our executive officers and other senior management;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19"/>
        <w:gridCol w:w="9912"/>
      </w:tblGrid>
      <w:tr>
        <w:trPr/>
        <w:tc>
          <w:tcPr>
            <w:tcW w:w="7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9912" w:type="dxa"/>
            <w:tcBorders/>
            <w:vAlign w:val="center"/>
          </w:tcPr>
          <w:p>
            <w:pPr>
              <w:pStyle w:val="TableContents"/>
              <w:bidi w:val="0"/>
              <w:spacing w:before="0" w:after="283"/>
              <w:jc w:val="both"/>
              <w:rPr/>
            </w:pPr>
            <w:r>
              <w:rPr/>
              <w:t>conducting periodic reviews of the base compensation levels of all of our employees generally;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human capital management strategies, programs and policies, including those relating to our workplace environment and culture;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and approving the type and amount of compensation to be paid or awarded to non-employee directors;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and administering the “clawback policy” applicable to our executive officers, in accordance with applicable rules and regulations of the SEC and Nasdaq;</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and approving the adoption, amendment and termination of our stock option plans, stock appreciation rights plans, pension and profit sharing plans, incentive plans, stock bonus plans, stock purchase plans, bonus plans, deferred compensation plans, 401(k) plans, supplemental retirement plans and similar programs, if any; and administering all such plans, establishing guidelines, interpreting plan documents, selecting participants, approving grants and awards and exercising such other power and authority as may be permitted or required under such plans;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our incentive compensation arrangements to determine whether such arrangements encourage excessive risk-taking, reviewing and discussing at least annually the relationship between our risk management policies and practices and compensation and evaluating compensation policies and practices that could mitigate any such risk;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and recommending to our Board for approval the frequency with which we conduct a vote on executive compensation, taking into account the results of the most recent stockholder advisory vote on the frequency of the vote on executive compensation, and reviewing and approving the proposals regarding the frequency of the vote on executive compensation to be included in our annual meeting proxy statements.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once we cease to be a “smaller reporting company” as defined in the rules and regulations of the SEC, the responsibilities of our Compensation Committee will include reviewing and discussing with management our Compensation Discussion and Analysis, and recommending to our Board that the Compensation Discussion and Analysis be approved for inclusion in our Annual Reports on Form 10-K, registration statements and annual meeting proxy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its charter, our Compensation Committee may form, and delegate authority to, subcommittees as appropriate. Our Compensation Committee reviews, discusses and assesses its own performance and composition at least annually. Our Compensation Committee also periodically reviews and assesses the adequacy of its charter, including its role and responsibilities as outlined in its charter, and recommends any proposed changes to our Board for its consideration and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held four meetings during fiscal year 2025 and acted by written consent four times during fiscal year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 Processes and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Typically, our Compensation Committee meets at least quarterly and with greater frequency if necessary. The agenda for each meeting is usually developed by the chairperson of our Compensation Committee, in consultation with the Chief Executive Officer. Our Compensation Committee meets regularly in executive session. However, from time to time, various members of management and other employees as well as outside advisors or consultants may be invited by our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our Compensation Committee regarding his compensation or individual performance objectives. The charter of our Compensation Committee grants our Compensation Committee full access to all of our books, records, facilities and personnel. In addition, under the charter, our Compensation Committee has the authority to obtain, at our expense, advice and assistance from compensation consultants and internal and external legal, accounting or other advisors and other external resources that our Compensation Committee considers necessary or appropriate in the performance of its duties. Our Compensation Committee has direct responsibility for the oversight of the work of any consultants or advisers engaged for the purpose of advising our Compensation Committee. In particular, our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our Compensation Committee may select, or receive advice from, a compensation consultant, legal counsel or other adviser to our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2025 compensation, our Compensation Committee utilized Alpine Rewards (“Alpine”) as its compensation consultant. In connection with assessing 2025 compensation for our directors, officers and other employees, Alpine provided our Compensation Committee with general compensation consultant services. The Compensation Committee assessed whether the work of Alpine as a compensation consultant has raised any conflict of interest, taking into consideration the following factors: (i) the provision of other services, if any, to us by Alpine; (ii) the amount of fees we paid to Alpine; (iii) Alpine’s policies and procedures that are designed to prevent conflicts of interest; (iv) any business or personal relationship of Alpine or the individual compensation advisors employed by the firm with an executive officer of the Company; (v) any business or personal relationship of the individual compensation advisors with any member of Alpine; and (vi) any shares of our common stock owned by Alpine or the individual compensation advisors employed by the firm. Our Compensation Committee has determined, based on its analysis of the above factors, that the work of Alpine and the individual compensation advisors employed by Alpine as our compensation consultant has not created any conflict of interest. Our Compensation Committee also assessed the independence of Alpine pursuant to SEC rules and concluded that the work of Alpine has not raised any conflict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and Corporate Governance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consists of Mr. von Emster, Dr. Lucas and Mr. Kapoor. The chairperson of our Nominating and Corporate Governance Committee is Mr. von Emster. Our Board has determined that each member of the Nominating and Corporate Governance Committee is independent under the listing standards of Nasdaq.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responsibilities of our Nominating and Corporate Governance Committee include, among other things: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261"/>
        <w:gridCol w:w="9855"/>
      </w:tblGrid>
      <w:tr>
        <w:trPr/>
        <w:tc>
          <w:tcPr>
            <w:tcW w:w="8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w:t>
            </w:r>
          </w:p>
        </w:tc>
        <w:tc>
          <w:tcPr>
            <w:tcW w:w="9855" w:type="dxa"/>
            <w:tcBorders/>
            <w:vAlign w:val="center"/>
          </w:tcPr>
          <w:p>
            <w:pPr>
              <w:pStyle w:val="TableContents"/>
              <w:bidi w:val="0"/>
              <w:spacing w:before="0" w:after="283"/>
              <w:jc w:val="both"/>
              <w:rPr/>
            </w:pPr>
            <w:r>
              <w:rPr/>
              <w:t>making recommendations to our Board regarding corporate governance issues;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evaluating the composition, size, organization and governance of the Board and its committees to ensure that they appropriately reflect the knowledge, skills, integrity, ethics, diversity (including that of gender, sexual orientation, disability, age, race, ethnicity or national origin, global perspective and experience, business experience, functional expertise, stakeholder expectations, culture and geography), and other characteristics required to fulfill their respective duties, and determine future requirements;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identifying, reviewing and evaluating candidates to serve as directors (consistent with criteria approved by our Board);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311"/>
        <w:gridCol w:w="9788"/>
      </w:tblGrid>
      <w:tr>
        <w:trPr/>
        <w:tc>
          <w:tcPr>
            <w:tcW w:w="10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w:t>
            </w:r>
          </w:p>
        </w:tc>
        <w:tc>
          <w:tcPr>
            <w:tcW w:w="9788" w:type="dxa"/>
            <w:tcBorders/>
            <w:vAlign w:val="center"/>
          </w:tcPr>
          <w:p>
            <w:pPr>
              <w:pStyle w:val="TableContents"/>
              <w:bidi w:val="0"/>
              <w:spacing w:before="0" w:after="283"/>
              <w:jc w:val="both"/>
              <w:rPr/>
            </w:pPr>
            <w:r>
              <w:rPr/>
              <w:t>determining the minimum qualifications for service on our Board;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256"/>
        <w:gridCol w:w="9862"/>
      </w:tblGrid>
      <w:tr>
        <w:trPr/>
        <w:tc>
          <w:tcPr>
            <w:tcW w:w="8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62" w:type="dxa"/>
            <w:tcBorders/>
            <w:vAlign w:val="center"/>
          </w:tcPr>
          <w:p>
            <w:pPr>
              <w:pStyle w:val="TableContents"/>
              <w:bidi w:val="0"/>
              <w:spacing w:before="0" w:after="283"/>
              <w:jc w:val="both"/>
              <w:rPr/>
            </w:pPr>
            <w:r>
              <w:rPr/>
              <w:t>reviewing and evaluating incumbent directors and Board performance generally;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230"/>
        <w:gridCol w:w="9897"/>
      </w:tblGrid>
      <w:tr>
        <w:trPr/>
        <w:tc>
          <w:tcPr>
            <w:tcW w:w="7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897" w:type="dxa"/>
            <w:tcBorders/>
            <w:vAlign w:val="center"/>
          </w:tcPr>
          <w:p>
            <w:pPr>
              <w:pStyle w:val="TableContents"/>
              <w:bidi w:val="0"/>
              <w:spacing w:before="0" w:after="283"/>
              <w:jc w:val="both"/>
              <w:rPr/>
            </w:pPr>
            <w:r>
              <w:rPr/>
              <w:t>instituting and overseeing director orientation and director continuing education programs;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serving as a focal point for communication among candidates, non-committee directors and our management;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recommending to our Board for selection candidates to serve as nominees for director for the annual meeting of stockholders;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8"/>
        <w:gridCol w:w="494"/>
        <w:gridCol w:w="9543"/>
      </w:tblGrid>
      <w:tr>
        <w:trPr/>
        <w:tc>
          <w:tcPr>
            <w:tcW w:w="16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pPr>
            <w:r>
              <w:rPr/>
              <w:t>●</w:t>
            </w:r>
          </w:p>
        </w:tc>
        <w:tc>
          <w:tcPr>
            <w:tcW w:w="9543" w:type="dxa"/>
            <w:tcBorders/>
            <w:vAlign w:val="center"/>
          </w:tcPr>
          <w:p>
            <w:pPr>
              <w:pStyle w:val="TableContents"/>
              <w:bidi w:val="0"/>
              <w:spacing w:before="0" w:after="283"/>
              <w:jc w:val="both"/>
              <w:rPr/>
            </w:pPr>
            <w:r>
              <w:rPr/>
              <w:t>assessing Board member independence;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239"/>
        <w:gridCol w:w="9886"/>
      </w:tblGrid>
      <w:tr>
        <w:trPr/>
        <w:tc>
          <w:tcPr>
            <w:tcW w:w="8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w:t>
            </w:r>
          </w:p>
        </w:tc>
        <w:tc>
          <w:tcPr>
            <w:tcW w:w="9886" w:type="dxa"/>
            <w:tcBorders/>
            <w:vAlign w:val="center"/>
          </w:tcPr>
          <w:p>
            <w:pPr>
              <w:pStyle w:val="TableContents"/>
              <w:bidi w:val="0"/>
              <w:spacing w:before="0" w:after="283"/>
              <w:jc w:val="both"/>
              <w:rPr/>
            </w:pPr>
            <w:r>
              <w:rPr/>
              <w:t>making other recommendations to our Board regarding matters relating to the directors;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225"/>
        <w:gridCol w:w="9904"/>
      </w:tblGrid>
      <w:tr>
        <w:trPr/>
        <w:tc>
          <w:tcPr>
            <w:tcW w:w="7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both"/>
              <w:rPr/>
            </w:pPr>
            <w:r>
              <w:rPr/>
              <w:t>reviewing succession plans for our Chief Executive Officer and our other executive officers;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and overseeing matters of corporate responsibility and sustainability, including potential long-and short-term trends and impacts to our business of environmental, social and governance issues, and our public reporting on these topics;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251"/>
        <w:gridCol w:w="9869"/>
      </w:tblGrid>
      <w:tr>
        <w:trPr/>
        <w:tc>
          <w:tcPr>
            <w:tcW w:w="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w:t>
            </w:r>
          </w:p>
        </w:tc>
        <w:tc>
          <w:tcPr>
            <w:tcW w:w="9869" w:type="dxa"/>
            <w:tcBorders/>
            <w:vAlign w:val="center"/>
          </w:tcPr>
          <w:p>
            <w:pPr>
              <w:pStyle w:val="TableContents"/>
              <w:bidi w:val="0"/>
              <w:spacing w:before="0" w:after="283"/>
              <w:jc w:val="both"/>
              <w:rPr/>
            </w:pPr>
            <w:r>
              <w:rPr/>
              <w:t>overseeing our environmental, social and governance programs and strategies;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231"/>
        <w:gridCol w:w="9896"/>
      </w:tblGrid>
      <w:tr>
        <w:trPr/>
        <w:tc>
          <w:tcPr>
            <w:tcW w:w="7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896" w:type="dxa"/>
            <w:tcBorders/>
            <w:vAlign w:val="center"/>
          </w:tcPr>
          <w:p>
            <w:pPr>
              <w:pStyle w:val="TableContents"/>
              <w:bidi w:val="0"/>
              <w:spacing w:before="0" w:after="283"/>
              <w:jc w:val="both"/>
              <w:rPr/>
            </w:pPr>
            <w:r>
              <w:rPr/>
              <w:t>considering any recommendations for nominees and proposals submitted by stockholders.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periodically reviews, discusses and assesses the performance of our Board and the committees of our Board. In fulfilling this responsibility, our Nominating and Corporate Governance Committee seeks input from senior management, our Board and others, which may include external advisors. In assessing our Board, our Nominating and Corporate Governance Committee evaluates the overall composition of our Board, our Board’s contribution as a whole and its effectiveness in serving our best interests and the best interests of our stockholders and, following the assessment process, our Nominating and Corporate Governance Committee may recommend changes in the composition of our Board, changes in the size of our Board, or other recommended future additions or changes to our Board structure based on our clinical programs and business focus. Our Nominating and Corporate Governance Committee reviews, discusses and assesses its own performance and composition at least annually. Our Nominating and Corporate Governance Committee also periodically reviews and assesses the adequacy of its charter, including its role and responsibilities as outlined in its charter, and recommends any proposed changes to our Board for its consideration and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held two meetings during fiscal year 2025 and acted by written consent one time during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Committee is an ad hoc committee of our Board that was formed in May 2022. Our Research and Development Committee consists of Dr. Brun, Dr. Shizuru and Mr. von Emster. The chairperson of our Research and Development Committee is Dr. Brun. Specific responsibilities of our Research and Development Committee include, among other things: (i) facilitating the technical review of our science and technology strategy research and development and product innovation and strategy; and (ii) reporting to our Board regarding our Research and Development Committee’s activities, including its reviews and assessments of our internal technology development, technology assessment, technology review and technical goals and research and development strategies, and any other matters deemed appropriate by our Research and Development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Committee held four meetings during fiscal year 2025 and did not act by written consent during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adopted an insider trading policy (the “Insider Trading Policy”), which provides guidelines to our employees, directors, officers and consultants with respect to transactions in our securities, including the purchase, sale and/or other disposition of our securities. We adopted the Insider Trading Policy and the procedures set forth therein to help avoid inadvertent instances of improper insider trading. We believe the Insider Trading Policy is reasonably designed to promote compliance with insider trading laws, rules and regulations and listing standards applicable to Jasper. In addition, with regard to any trading in our own securities, it is our policy to comply with the federal securities laws and the applicable exchange listing requirements.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Prohibition on Hedging and Pledging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Insider Trading Policy prohibits any director, employee (including our executive officers) or consultant to our Company from, among other things, engaging in short sales, transactions in put or call options, hedging transactions, margin accounts or other inherently speculative transactions with respect to our securities at any time. Our directors, employees (including our executive officers) and consultants are also not permitted to pledge our securities as collateral for a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Identifying and Evaluating Director Nominees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is responsible for identifying, reviewing, evaluating and recommending candidates for nomination to our Board, including candidates to fill any vacancies that may occur. Our Nominating and Corporate Governance Committee assesses the qualifications of candidates in light of the policies and principles in our corporate governance guidelines and may also engage third-party search firms to identify director candidates. Our Nominating and Corporate Governance Committee may conduct interviews, detailed questionnaires and comprehensive background checks or use any other means that it deems appropriate to gather information to evaluate potential candidates. Based on the results of the evaluation process, our Nominating and Corporate Governance Committee recommends candidates to our Board for approval as director nominees for election to our Board. In assessing our Board, our Nominating and Corporate Governance Committee will evaluate the overall composition of our Board, our Board’s contribution as a whole and its effectiveness in serving our best interests and the best interests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Minimum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believes that candidates for director should have certain minimum qualifications, including being able to read and understand basic financial statements, being over 21 years of age and having the highest personal integrity and ethics. Some of the qualifications that our Nominating and Corporate Governance Committee will also consider include, but are not limited to, such candidate’s (i) level of expertise, (ii) potential conflicts of interests or other commitments, (iii) demonstrated excellence in his or her field, (iv) ability to exercise sound business judgment, (v) diversity with respect to personal background, perspective and experience and (vi) commitment to rigorously representing our stockholders’ long-term interests. Our Nominating and Corporate Governance Committee also reviews director candidates in the context of the current size and composition of our Board, our operating requirements and our stockholders’ long-term interests. Although our Board does not maintain a specific policy with respect to board diversity, our Board values diversity as a factor in selecting nominees. Our Nominating and Corporate Governance Committee considers a broad range of backgrounds and experiences and may consider factors including gender, racial diversity, age, skills, and such other factors as it deems appropriate to maintain an appropriate balance of knowledge, experience and capability. In the case of incumbent directors whose terms of office are set to expire, our Nominating and Corporate Governance Committee reviews such directors’ overall service to us during their term, including the number of meetings attended, level of participation, quality of performance, and any other relationships and transactions that might impair such directors’ independence. In the case of new director candidates, our Nominating and Corporate Governance Committee also determines whether the nominee is independent for purposes of Nasdaq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Recommendations and Nominations to the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submit recommendations for director candidates to our Nominating and Corporate Governance Committee by sending the individual’s name and qualifications to our Corporate Secretary at Jasper Therapeutics, Inc., 2200 Bridge Pkwy Suite #102, Redwood City, CA 94065, who will forward all recommendations to our Nominating and Corporate Governance Committee. Our Nominating and Corporate Governance Committee will evaluate any candidates recommended by stockholders against the same criteria and pursuant to the same policies and procedures applicable to the evaluation of candidates proposed by directors 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and Other Interested Party Communications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provides to every stockholder and any other interested parties the ability to communicate with our Board as a whole, and with individual directors on our Board, through an established process for stockholder communication. For a communication directed to our Board as a whole, stockholders and other interested parties may send such communication to our Corporate Secretary at Jasper Therapeutics, Inc., 2200 Bridge Pkwy Suite #102, Redwood City, CA 94065, Attn: Board of Directors c/o Corporate Secretary.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stockholder or other interested party communication directed to an individual director in his or her capacity as a member of our Board, stockholders and other interested parties may send such communication to the attention of the individual director at Jasper Therapeutics, Inc., 2200 Bridge Pkwy Suite #102, Redwood City, CA 94065, Attn: Name of Director.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Secretary, in consultation with appropriate members of our Board as necessary, will review all incoming communications and, if appropriate, all such communications will be forwarded to the appropriate member or members of our Board, or if none is specified, to the Chairperson of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Guidelines and Code of Business Conduct and Ethics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adopted corporate governance guidelines that address items such as the qualifications and responsibilities of our directors and director candidates and corporate governance policies and standards applicable to us in general. In addition, our Board has adopted a code of business conduct and ethics that applies to our directors, officers and employees, including our principal executive officer, principal financial officer, principal accounting officer or controller, and persons performing similar functions. Our code of business conduct and ethics is available under the “Investors-Corporate Governance” section of our website at ir.jaspertherapeutics.com/corporate-governance/documents-charters.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in or available or accessible through our website, and you should not consider it to be a part of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day-to-day management of risks we face, while our Board, as a whole and assisted by its committees, is responsible for the oversight of risk management. In its risk oversight role, our Board has the responsibility to satisfy itself that the risk management processes designed and implemented by management are appropriate and functioning as designed. Our Board is responsible for risk oversight. Our Board believes that it is essential for effective risk management and oversight that there be open communication between management and our Board. Our Board meets with our Chief Executive Officer, Chief Financial Officer and other members of the senior management team at quarterly meetings of our Board, where, among other topics, they discuss strategy and risks facing us, as well as at such other times as they deem appropriate.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assists our Board in fulfilling its oversight responsibilities with respect to risk management in the areas of internal control over financial reporting, accounting, tax disclosure controls and procedures, enterprise risk and legal and regulatory compliance, and discusses with management and the independent auditor guidelines and policies with respect to risk assessment and risk management. Our Audit Committee also reviews our major financial, cybersecurity and information technology risk exposures and the steps management has taken to monitor and control these exposures. Our Audit Committee also monitors certain key risks on a regular basis throughout the fiscal year, such as risk associated with internal control over financial reporting and liquidity risk. Our Compensation Committee assesses risks created by the incentives inherent in our compensation policies and evaluates our compensation policies and practices that could mitigate any such risks. Our Nominating and Corporate Governance Committee assists our Board in fulfilling its oversight responsibilities with respect to the management of risk associated with board organization, membership and structure, and environmental, social and corporate governance matters. Our full Board also reviews strategic and operational risk in the context of reports from the management team, receives reports on all significant committee activities at regular meetings of our Board, and evaluates the risks inherent in significant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Scientific Advisory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 scientific advisory board. We regularly seek advice and input from these experienced scientific leaders on matters related to our research and development programs. Our scientific advisory board consists of experts across a range of key disciplines relevant to our programs and science. We intend to continue to leverage the broad expertise of our advisors by seeking their counsel on important topics relating to our research and development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A_002"/>
      <w:bookmarkEnd w:id="4"/>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for the year ended December 31, 2025 were: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11"/>
        <w:gridCol w:w="9923"/>
      </w:tblGrid>
      <w:tr>
        <w:trPr/>
        <w:tc>
          <w:tcPr>
            <w:tcW w:w="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w:t>
            </w:r>
          </w:p>
        </w:tc>
        <w:tc>
          <w:tcPr>
            <w:tcW w:w="9923" w:type="dxa"/>
            <w:tcBorders/>
            <w:vAlign w:val="center"/>
          </w:tcPr>
          <w:p>
            <w:pPr>
              <w:pStyle w:val="TableContents"/>
              <w:bidi w:val="0"/>
              <w:spacing w:before="0" w:after="283"/>
              <w:jc w:val="both"/>
              <w:rPr/>
            </w:pPr>
            <w:r>
              <w:rPr/>
              <w:t>Jeet Mahal, our current Chief Executive Officer and President and former Chief Operating Officer;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311"/>
        <w:gridCol w:w="9788"/>
      </w:tblGrid>
      <w:tr>
        <w:trPr/>
        <w:tc>
          <w:tcPr>
            <w:tcW w:w="10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w:t>
            </w:r>
          </w:p>
        </w:tc>
        <w:tc>
          <w:tcPr>
            <w:tcW w:w="9788" w:type="dxa"/>
            <w:tcBorders/>
            <w:vAlign w:val="center"/>
          </w:tcPr>
          <w:p>
            <w:pPr>
              <w:pStyle w:val="TableContents"/>
              <w:bidi w:val="0"/>
              <w:spacing w:before="0" w:after="283"/>
              <w:jc w:val="both"/>
              <w:rPr/>
            </w:pPr>
            <w:r>
              <w:rPr/>
              <w:t>Herb Cross, our Chief Financial Officer and Corporate Secretary;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290"/>
        <w:gridCol w:w="9817"/>
      </w:tblGrid>
      <w:tr>
        <w:trPr/>
        <w:tc>
          <w:tcPr>
            <w:tcW w:w="9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9817" w:type="dxa"/>
            <w:tcBorders/>
            <w:vAlign w:val="center"/>
          </w:tcPr>
          <w:p>
            <w:pPr>
              <w:pStyle w:val="TableContents"/>
              <w:bidi w:val="0"/>
              <w:spacing w:before="0" w:after="283"/>
              <w:jc w:val="both"/>
              <w:rPr/>
            </w:pPr>
            <w:r>
              <w:rPr/>
              <w:t>Ronald Martell, our former Chief Executive Officer and President;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359"/>
        <w:gridCol w:w="9725"/>
      </w:tblGrid>
      <w:tr>
        <w:trPr/>
        <w:tc>
          <w:tcPr>
            <w:tcW w:w="12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both"/>
              <w:rPr/>
            </w:pPr>
            <w:r>
              <w:rPr/>
              <w:t>Edwin Tucker, M.D., our former Chief Medical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Summary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and analysis of compensation arrangements of our named executive officers. This discussion may contain forward-looking statements that are based on our current plans, considerations, expectations and determinations regarding future compensation programs. As a “smaller reporting company” as defined in the rules and regulations of the SEC, we are not required to include a Compensation Discussion and Analysis section and have elected to comply with the scaled disclosure requirements applicable to smaller reporting companies.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Financial and Performance Highlights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and performance highlights during 2025 include the following:</w:t>
      </w:r>
    </w:p>
    <w:p>
      <w:pPr>
        <w:pStyle w:val="TextBody"/>
        <w:bidi w:val="0"/>
        <w:spacing w:before="0" w:after="0"/>
        <w:ind w:left="360" w:right="0" w:hanging="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68"/>
        <w:gridCol w:w="200"/>
        <w:gridCol w:w="71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both"/>
              <w:rPr/>
            </w:pPr>
            <w:r>
              <w:rPr/>
              <w:t>Cash and cash equivalents as of December 31, 2025, totaled $28.7 million.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Research and development expenses for the year ended December 31, 2025, were $63.1 million, including stock-based compensation expenses of $2.0 million.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General and administrative expenses for the year ended December 31, 2025, were $20.8 million, including stock-based compensation expenses of $4.7 million.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Reported a net loss of $75.8 million, or basic and diluted net loss per share attributable to common stockholders of $3.95 for the year ended December 31,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Philosophy and Practices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achieve our goals, we have designed, and intend to modify as necessary, our compensation and benefits programs to attract, retain, incentivize and reward deeply talented and qualified executives who share our philosophy and desire to work towards achieving our goals. We believe our compensation programs should promote the success of our Company and align executive incentives with the long-term interests of our stockholders. This section provides an overview of our executive compensation programs, including a narrative description of the material factors necessary to understand the information disclosed in the summary compensation table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Say-On-Pay Votes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selected by our stockholders at our 2025 Annual Meeting of Stockholders and approved by our Board, we hold advisory votes on the compensation of our named executive officers (the “Say-on-Pay Vote”) on an annual basis. At our 2025 Annual Meeting of Stockholders, our stockholders approved our Say-on-Pay Vote, with approximately 93.7% of the votes in favor of the fiscal 2024 compensation of our named executive officers. Our Compensation Committee carefully considers the level of voting support from our stockholders on our Say-on-Pay Vote and will continue to consider the outcome of votes on Say-on-Pay Votes when making future compensation decisions for our named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Individual Compensation Elements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principal elements of our executive compensation program were as follows: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base salaries to recognize the experience, skills, knowledge and responsibilities required of all our employees, including our named executive officers. Base salaries are reviewed annually, typically in connection with our annual performance review process, and adjusted from time to time after taking into account individual responsibilities, performance and experience. For 2025, Mr. Mahal earned an annual base salary of $498,000, Mr. Cross earned an annual base salary of $493,000, Mr. Martell earned an annual base salary of $727,272 and during his employment with us in 2025, Dr. Tucker earned an annual base salary of $532,500.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Cash Incentive Bonuses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pay cash bonuses to reward our executives for their performance over the fiscal year, based on an analysis by our Board or our Compensation Committee of our company performance and each executive’s performance during the year. During 2025, Mr. Mahal’s annual bonus target was equal to 45% of his annual base salary, Mr. Cross’ annual bonus target was equal to 45% of his annual base salary, Mr. Martell’s annual bonus target was equal to 50% of his annual base salary and Dr. Tucker’s annual bonus target was equal to 45% of his annual base salary.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corporate performance goals for the 2025 bonus program for our employees based on milestones that primarily included: (1) briquilimab development goals, including enrolling additional patients and generating positive data in our inducible urticaria clinical trial; (2) completing our BEACON study internal investigation; (3) operational and supply chain goals; and (4) corporate goals, including finance, business development and human resources. Our Compensation Committee determined that the total attainment rate for 2025 for our executive officers was 50%. For 2025, Mr. Mahal received a $112,050 bonus and Mr. Cross received a $110,925 bonus. Neither Mr. Martell nor Dr. Tucker received a bonus for 2025 as neither was employed at the time that bonuses were awarded. The bonus amounts for Mr. Mahal and Mr. Cross were determined based on the base salary earned by each executive officer for the calendar year multiplied by his bonus target percentage and the 50% achievement level.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Equity Incentives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equity awards are a critical element of our executive compensation programs as they provide an incentive for our executives to focus on driving growth in our stock price and long-term stockholder value creation and help us to attract and retain key talent in a competitive market. Specifically, the granting of stock options helps ensure that the interests of our executive officers are aligned with those of our stockholders as the options only have value if the value of our stock increases after the date the option is granted.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Option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2025, Mr. Mahal was granted an option to purchase 50,000 shares of our common stock, Mr. Cross was granted an option to purchase 50,000 shares of our common stock, Mr. Martell was granted an option to purchase 130,000 shares of our common stock and Dr. Tucker was granted an option to purchase 50,000 shares of our common stock. Of the shares subject to these option grants, 25% are or were scheduled to vest on February 13, 2026 and 1/48th of the total number of shares subject to the option would vest monthly thereafter, subject in each case to the option recipient’s continued service to us on each vesting date. On June 4, 2025, Mr. Mahal was granted an option to purchase 90,000 shares of our common stock, Mr. Cross was granted an option to purchase 90,000 shares of our common stock, Mr. Martell was granted an option to purchase 234,000 shares of our common stock and Dr. Tucker was granted an option to purchase 90,000 shares of our common stock. Of the shares subject to these option grants, 25% are or were scheduled to vest on June 4, 2026 and 1/48th of the total number of shares subject to the option would vest monthly thereafter, subject in each case to the option recipient’s continued service to us on each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Elements of Compensation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Perquisites, Health, Welfare and Retirement Benefits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during their employment with us, are eligible to participate in our employee benefit plans, including our medical and dental insurance plans, in each case on the same basis as all of our other employees. We generally do not provide perquisites or personal benefits to our named executive officers, except in limited circumstances. We do, however, cover a certain portion of the premiums for medical and dental insurance for all of our employees, including our named executive officers. Our Board may elect to adopt qualified or nonqualified benefit plans in the future if it determines that doing so is in our best interests.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401(k)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maintain a 401(k) retirement savings plan for our employees, including our named executive officers, who satisfy certain eligibility requirements. The 401(k) plan is intended to qualify as a tax-qualified plan under the Internal Revenue Code. Our named executive officers are eligible to participate in the 401(k) plan on the same basis as our other employees. The Internal Revenue Code allows eligible employees to defer a portion of their compensation, within prescribed limits, on a pre-tax basis (or post-tax basis through a Roth 401(k) election) through contributions to the 401(k) plan. We provided matching contributions of up to $3,000 per employee under our 401(k) plan during the year ended December 31,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Pension Benefits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did not participate in, or otherwise receive any benefits under, any pension or retirement plan sponsored by us during the year ended December 31,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Nonqualified Deferred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did not participate in, or earn any benefits under, any nonqualified deferred compensation plan sponsored by us during the year ended December 31, 2025. Our Board may elect to provide our officers and other employees with nonqualified deferred compensation benefits in the future if it determines that doing so is in our best interests.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Tax Gross-Ups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did not make gross-up payments to cover our named executive officers’ personal income taxes that pertained to any of the compensation, perquisites or personal benefits paid or provided by us. Currently, we have no agreements or arrangements in place with any executive officer that require or provide for a tax gross-up or similar payment. We also do not intend to enter into any future employment or other agreement or arrangement with any of our executive offices that includes a tax gross-up.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all of the compensation awarded to, earned by or paid to our named executive officers during the years ended December 31, 2025 and 2024, respectively:</w:t>
      </w:r>
    </w:p>
    <w:p>
      <w:pPr>
        <w:pStyle w:val="TextBody"/>
        <w:bidi w:val="0"/>
        <w:spacing w:before="0" w:after="0"/>
        <w:ind w:left="0" w:right="0" w:firstLine="360"/>
        <w:jc w:val="both"/>
        <w:rPr>
          <w:caps w:val="false"/>
          <w:smallCaps w:val="false"/>
        </w:rPr>
      </w:pPr>
      <w:r>
        <w:rPr>
          <w:caps w:val="false"/>
          <w:smallCaps w:val="false"/>
        </w:rPr>
        <w:t> </w:t>
      </w:r>
    </w:p>
    <w:tbl>
      <w:tblPr>
        <w:tblW w:w="10215" w:type="dxa"/>
        <w:jc w:val="left"/>
        <w:tblInd w:w="0" w:type="dxa"/>
        <w:tblLayout w:type="fixed"/>
        <w:tblCellMar>
          <w:top w:w="0" w:type="dxa"/>
          <w:left w:w="0" w:type="dxa"/>
          <w:bottom w:w="28" w:type="dxa"/>
          <w:right w:w="0" w:type="dxa"/>
        </w:tblCellMar>
      </w:tblPr>
      <w:tblGrid>
        <w:gridCol w:w="1055"/>
        <w:gridCol w:w="90"/>
        <w:gridCol w:w="90"/>
        <w:gridCol w:w="530"/>
        <w:gridCol w:w="90"/>
        <w:gridCol w:w="90"/>
        <w:gridCol w:w="90"/>
        <w:gridCol w:w="830"/>
        <w:gridCol w:w="90"/>
        <w:gridCol w:w="90"/>
        <w:gridCol w:w="148"/>
        <w:gridCol w:w="1372"/>
        <w:gridCol w:w="90"/>
        <w:gridCol w:w="90"/>
        <w:gridCol w:w="90"/>
        <w:gridCol w:w="1010"/>
        <w:gridCol w:w="90"/>
        <w:gridCol w:w="90"/>
        <w:gridCol w:w="90"/>
        <w:gridCol w:w="830"/>
        <w:gridCol w:w="90"/>
        <w:gridCol w:w="90"/>
        <w:gridCol w:w="148"/>
        <w:gridCol w:w="1372"/>
        <w:gridCol w:w="245"/>
        <w:gridCol w:w="90"/>
        <w:gridCol w:w="90"/>
        <w:gridCol w:w="1010"/>
        <w:gridCol w:w="135"/>
      </w:tblGrid>
      <w:tr>
        <w:trPr/>
        <w:tc>
          <w:tcPr>
            <w:tcW w:w="1055" w:type="dxa"/>
            <w:tcBorders>
              <w:bottom w:val="single" w:sz="12" w:space="0" w:color="000000"/>
            </w:tcBorders>
            <w:vAlign w:val="center"/>
          </w:tcPr>
          <w:p>
            <w:pPr>
              <w:pStyle w:val="TableContents"/>
              <w:bidi w:val="0"/>
              <w:spacing w:before="0" w:after="283"/>
              <w:jc w:val="left"/>
              <w:rPr>
                <w:b/>
              </w:rPr>
            </w:pPr>
            <w:r>
              <w:rPr>
                <w:b/>
              </w:rPr>
              <w:t>Name and Principal Position</w:t>
            </w:r>
          </w:p>
        </w:tc>
        <w:tc>
          <w:tcPr>
            <w:tcW w:w="90" w:type="dxa"/>
            <w:tcBorders/>
            <w:tcMar>
              <w:bottom w:w="0" w:type="dxa"/>
            </w:tcMar>
            <w:vAlign w:val="center"/>
          </w:tcPr>
          <w:p>
            <w:pPr>
              <w:pStyle w:val="TableContents"/>
              <w:bidi w:val="0"/>
              <w:spacing w:before="0" w:after="283"/>
              <w:jc w:val="center"/>
              <w:rPr/>
            </w:pPr>
            <w:r>
              <w:rPr/>
              <w:t> </w:t>
            </w:r>
          </w:p>
        </w:tc>
        <w:tc>
          <w:tcPr>
            <w:tcW w:w="620" w:type="dxa"/>
            <w:gridSpan w:val="2"/>
            <w:tcBorders>
              <w:bottom w:val="single" w:sz="12" w:space="0" w:color="000000"/>
            </w:tcBorders>
            <w:vAlign w:val="center"/>
          </w:tcPr>
          <w:p>
            <w:pPr>
              <w:pStyle w:val="TableContents"/>
              <w:bidi w:val="0"/>
              <w:spacing w:before="0" w:after="283"/>
              <w:jc w:val="center"/>
              <w:rPr>
                <w:b/>
              </w:rPr>
            </w:pPr>
            <w:r>
              <w:rPr>
                <w:b/>
              </w:rPr>
              <w:t>Year</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920" w:type="dxa"/>
            <w:gridSpan w:val="2"/>
            <w:tcBorders>
              <w:bottom w:val="single" w:sz="12" w:space="0" w:color="000000"/>
            </w:tcBorders>
            <w:vAlign w:val="center"/>
          </w:tcPr>
          <w:p>
            <w:pPr>
              <w:pStyle w:val="TableContents"/>
              <w:bidi w:val="0"/>
              <w:spacing w:before="0" w:after="283"/>
              <w:jc w:val="center"/>
              <w:rPr>
                <w:b/>
              </w:rPr>
            </w:pPr>
            <w:r>
              <w:rPr>
                <w:b/>
              </w:rPr>
              <w:t>Salary</w:t>
              <w:br/>
              <w:t>($)</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520" w:type="dxa"/>
            <w:gridSpan w:val="2"/>
            <w:tcBorders>
              <w:bottom w:val="single" w:sz="12" w:space="0" w:color="000000"/>
            </w:tcBorders>
            <w:vAlign w:val="center"/>
          </w:tcPr>
          <w:p>
            <w:pPr>
              <w:pStyle w:val="TableContents"/>
              <w:bidi w:val="0"/>
              <w:spacing w:before="0" w:after="283"/>
              <w:jc w:val="center"/>
              <w:rPr>
                <w:b/>
              </w:rPr>
            </w:pPr>
            <w:r>
              <w:rPr>
                <w:b/>
              </w:rPr>
              <w:t>Non-Equity</w:t>
              <w:br/>
              <w:t>Incentive Plan</w:t>
              <w:br/>
              <w:t>Compensation</w:t>
              <w:br/>
              <w:t>($)</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1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w:t>
              <w:br/>
              <w:t>Awards</w:t>
              <w:br/>
              <w:t>($)</w:t>
            </w:r>
            <w:r>
              <w:rPr>
                <w:rFonts w:ascii="Times New Roman;Times;Serif" w:hAnsi="Times New Roman;Times;Serif"/>
                <w:b/>
                <w:position w:val="8"/>
                <w:sz w:val="19"/>
              </w:rPr>
              <w:t>(1)</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9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Stock</w:t>
              <w:br/>
              <w:t>Awards</w:t>
              <w:br/>
              <w:t>($)</w:t>
            </w:r>
            <w:r>
              <w:rPr>
                <w:rFonts w:ascii="Times New Roman;Times;Serif" w:hAnsi="Times New Roman;Times;Serif"/>
                <w:b/>
                <w:position w:val="8"/>
                <w:sz w:val="19"/>
              </w:rPr>
              <w:t>(2)</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520" w:type="dxa"/>
            <w:gridSpan w:val="2"/>
            <w:tcBorders>
              <w:bottom w:val="single" w:sz="12" w:space="0" w:color="000000"/>
            </w:tcBorders>
            <w:vAlign w:val="center"/>
          </w:tcPr>
          <w:p>
            <w:pPr>
              <w:pStyle w:val="TableContents"/>
              <w:bidi w:val="0"/>
              <w:spacing w:before="0" w:after="283"/>
              <w:jc w:val="center"/>
              <w:rPr>
                <w:b/>
              </w:rPr>
            </w:pPr>
            <w:r>
              <w:rPr>
                <w:b/>
              </w:rPr>
              <w:t>All Other</w:t>
              <w:br/>
              <w:t>Compensation</w:t>
              <w:br/>
              <w:t>($)</w:t>
            </w:r>
          </w:p>
        </w:tc>
        <w:tc>
          <w:tcPr>
            <w:tcW w:w="24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Total ($)</w:t>
            </w:r>
          </w:p>
        </w:tc>
        <w:tc>
          <w:tcPr>
            <w:tcW w:w="135" w:type="dxa"/>
            <w:tcBorders/>
            <w:tcMar>
              <w:bottom w:w="0" w:type="dxa"/>
            </w:tcMar>
            <w:vAlign w:val="center"/>
          </w:tcPr>
          <w:p>
            <w:pPr>
              <w:pStyle w:val="TableContents"/>
              <w:bidi w:val="0"/>
              <w:spacing w:before="0" w:after="283"/>
              <w:ind w:left="0" w:right="0" w:hanging="180"/>
              <w:jc w:val="center"/>
              <w:rPr/>
            </w:pPr>
            <w:r>
              <w:rPr/>
              <w:t> </w:t>
            </w:r>
          </w:p>
        </w:tc>
      </w:tr>
      <w:tr>
        <w:trPr/>
        <w:tc>
          <w:tcPr>
            <w:tcW w:w="10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Jeet Mahal</w:t>
            </w:r>
            <w:r>
              <w:rPr>
                <w:rFonts w:ascii="Times New Roman;Times;Serif" w:hAnsi="Times New Roman;Times;Serif"/>
                <w:position w:val="8"/>
                <w:sz w:val="19"/>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498,000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112,050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679,549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1,289,599</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i/>
              </w:rPr>
            </w:pPr>
            <w:r>
              <w:rPr>
                <w:i/>
              </w:rPr>
              <w:t>Chief Executive Officer and President; Former Chief Operating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481,301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184,098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612,732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1,278,131</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055" w:type="dxa"/>
            <w:tcBorders/>
            <w:tcMar>
              <w:bottom w:w="0" w:type="dxa"/>
            </w:tcMar>
            <w:vAlign w:val="center"/>
          </w:tcPr>
          <w:p>
            <w:pPr>
              <w:pStyle w:val="TableContents"/>
              <w:bidi w:val="0"/>
              <w:spacing w:before="0" w:after="283"/>
              <w:jc w:val="left"/>
              <w:rPr/>
            </w:pPr>
            <w:r>
              <w:rPr/>
              <w:t>Herb Cross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pPr>
            <w:r>
              <w:rP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493,000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8" w:type="dxa"/>
            <w:tcBorders/>
            <w:tcMar>
              <w:bottom w:w="0" w:type="dxa"/>
            </w:tcMar>
            <w:vAlign w:val="center"/>
          </w:tcPr>
          <w:p>
            <w:pPr>
              <w:pStyle w:val="TableContents"/>
              <w:bidi w:val="0"/>
              <w:spacing w:before="0" w:after="283"/>
              <w:jc w:val="left"/>
              <w:rPr/>
            </w:pPr>
            <w:r>
              <w:rPr/>
              <w:t> </w:t>
            </w:r>
          </w:p>
        </w:tc>
        <w:tc>
          <w:tcPr>
            <w:tcW w:w="1372" w:type="dxa"/>
            <w:tcBorders/>
            <w:tcMar>
              <w:bottom w:w="0" w:type="dxa"/>
            </w:tcMar>
            <w:vAlign w:val="center"/>
          </w:tcPr>
          <w:p>
            <w:pPr>
              <w:pStyle w:val="TableContents"/>
              <w:bidi w:val="0"/>
              <w:spacing w:before="0" w:after="283"/>
              <w:jc w:val="right"/>
              <w:rPr/>
            </w:pPr>
            <w:r>
              <w:rPr/>
              <w:t>110,925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679,549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8" w:type="dxa"/>
            <w:tcBorders/>
            <w:tcMar>
              <w:bottom w:w="0" w:type="dxa"/>
            </w:tcMar>
            <w:vAlign w:val="center"/>
          </w:tcPr>
          <w:p>
            <w:pPr>
              <w:pStyle w:val="TableContents"/>
              <w:bidi w:val="0"/>
              <w:spacing w:before="0" w:after="283"/>
              <w:jc w:val="left"/>
              <w:rPr/>
            </w:pPr>
            <w:r>
              <w:rPr/>
              <w:t> </w:t>
            </w:r>
          </w:p>
        </w:tc>
        <w:tc>
          <w:tcPr>
            <w:tcW w:w="1372" w:type="dxa"/>
            <w:tcBorders/>
            <w:tcMar>
              <w:bottom w:w="0" w:type="dxa"/>
            </w:tcMar>
            <w:vAlign w:val="center"/>
          </w:tcPr>
          <w:p>
            <w:pPr>
              <w:pStyle w:val="TableContents"/>
              <w:bidi w:val="0"/>
              <w:spacing w:before="0" w:after="283"/>
              <w:jc w:val="right"/>
              <w:rPr/>
            </w:pPr>
            <w:r>
              <w:rPr/>
              <w:t>—</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1,283,474</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055" w:type="dxa"/>
            <w:tcBorders/>
            <w:tcMar>
              <w:bottom w:w="0" w:type="dxa"/>
            </w:tcMar>
            <w:vAlign w:val="center"/>
          </w:tcPr>
          <w:p>
            <w:pPr>
              <w:pStyle w:val="TableContents"/>
              <w:bidi w:val="0"/>
              <w:spacing w:before="0" w:after="283"/>
              <w:jc w:val="left"/>
              <w:rPr>
                <w:i/>
              </w:rPr>
            </w:pPr>
            <w:r>
              <w:rPr>
                <w:i/>
              </w:rPr>
              <w:t>Chief Financial Officer and Corporate Secretary</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pPr>
            <w:r>
              <w:rPr/>
              <w:t>2024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476,100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8" w:type="dxa"/>
            <w:tcBorders/>
            <w:tcMar>
              <w:bottom w:w="0" w:type="dxa"/>
            </w:tcMar>
            <w:vAlign w:val="center"/>
          </w:tcPr>
          <w:p>
            <w:pPr>
              <w:pStyle w:val="TableContents"/>
              <w:bidi w:val="0"/>
              <w:spacing w:before="0" w:after="283"/>
              <w:jc w:val="left"/>
              <w:rPr/>
            </w:pPr>
            <w:r>
              <w:rPr/>
              <w:t> </w:t>
            </w:r>
          </w:p>
        </w:tc>
        <w:tc>
          <w:tcPr>
            <w:tcW w:w="1372" w:type="dxa"/>
            <w:tcBorders/>
            <w:tcMar>
              <w:bottom w:w="0" w:type="dxa"/>
            </w:tcMar>
            <w:vAlign w:val="center"/>
          </w:tcPr>
          <w:p>
            <w:pPr>
              <w:pStyle w:val="TableContents"/>
              <w:bidi w:val="0"/>
              <w:spacing w:before="0" w:after="283"/>
              <w:jc w:val="right"/>
              <w:rPr/>
            </w:pPr>
            <w:r>
              <w:rPr/>
              <w:t>182,108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612,732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8" w:type="dxa"/>
            <w:tcBorders/>
            <w:tcMar>
              <w:bottom w:w="0" w:type="dxa"/>
            </w:tcMar>
            <w:vAlign w:val="center"/>
          </w:tcPr>
          <w:p>
            <w:pPr>
              <w:pStyle w:val="TableContents"/>
              <w:bidi w:val="0"/>
              <w:spacing w:before="0" w:after="283"/>
              <w:jc w:val="left"/>
              <w:rPr/>
            </w:pPr>
            <w:r>
              <w:rPr/>
              <w:t> </w:t>
            </w:r>
          </w:p>
        </w:tc>
        <w:tc>
          <w:tcPr>
            <w:tcW w:w="1372" w:type="dxa"/>
            <w:tcBorders/>
            <w:tcMar>
              <w:bottom w:w="0" w:type="dxa"/>
            </w:tcMar>
            <w:vAlign w:val="center"/>
          </w:tcPr>
          <w:p>
            <w:pPr>
              <w:pStyle w:val="TableContents"/>
              <w:bidi w:val="0"/>
              <w:spacing w:before="0" w:after="283"/>
              <w:jc w:val="right"/>
              <w:rPr/>
            </w:pPr>
            <w:r>
              <w:rPr/>
              <w:t>—</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1,270,940</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Ronald Martell</w:t>
            </w:r>
            <w:r>
              <w:rPr>
                <w:rFonts w:ascii="Times New Roman;Times;Serif" w:hAnsi="Times New Roman;Times;Serif"/>
                <w:position w:val="8"/>
                <w:sz w:val="19"/>
              </w:rPr>
              <w:t>(4)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727,272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1,766,827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2,494,099</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i/>
              </w:rPr>
            </w:pPr>
            <w:r>
              <w:rPr>
                <w:i/>
              </w:rPr>
              <w:t>Former Chief Executive Officer and President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727,272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309,091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1,740,640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438,000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3,215,003</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Edwin Tucker, M.D.</w:t>
            </w:r>
            <w:r>
              <w:rPr>
                <w:rFonts w:ascii="Times New Roman;Times;Serif" w:hAnsi="Times New Roman;Times;Serif"/>
                <w:position w:val="8"/>
                <w:sz w:val="19"/>
              </w:rPr>
              <w:t>(5)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pPr>
            <w:r>
              <w:rP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312,673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8" w:type="dxa"/>
            <w:tcBorders/>
            <w:tcMar>
              <w:bottom w:w="0" w:type="dxa"/>
            </w:tcMar>
            <w:vAlign w:val="center"/>
          </w:tcPr>
          <w:p>
            <w:pPr>
              <w:pStyle w:val="TableContents"/>
              <w:bidi w:val="0"/>
              <w:spacing w:before="0" w:after="283"/>
              <w:jc w:val="left"/>
              <w:rPr/>
            </w:pPr>
            <w:r>
              <w:rPr/>
              <w:t> </w:t>
            </w:r>
          </w:p>
        </w:tc>
        <w:tc>
          <w:tcPr>
            <w:tcW w:w="1372"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679,549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8" w:type="dxa"/>
            <w:tcBorders/>
            <w:tcMar>
              <w:bottom w:w="0" w:type="dxa"/>
            </w:tcMar>
            <w:vAlign w:val="center"/>
          </w:tcPr>
          <w:p>
            <w:pPr>
              <w:pStyle w:val="TableContents"/>
              <w:bidi w:val="0"/>
              <w:spacing w:before="0" w:after="283"/>
              <w:jc w:val="left"/>
              <w:rPr/>
            </w:pPr>
            <w:r>
              <w:rPr/>
              <w:t> </w:t>
            </w:r>
          </w:p>
        </w:tc>
        <w:tc>
          <w:tcPr>
            <w:tcW w:w="1372" w:type="dxa"/>
            <w:tcBorders/>
            <w:tcMar>
              <w:bottom w:w="0" w:type="dxa"/>
            </w:tcMar>
            <w:vAlign w:val="center"/>
          </w:tcPr>
          <w:p>
            <w:pPr>
              <w:pStyle w:val="TableContents"/>
              <w:bidi w:val="0"/>
              <w:spacing w:before="0" w:after="283"/>
              <w:jc w:val="right"/>
              <w:rPr/>
            </w:pPr>
            <w:r>
              <w:rPr/>
              <w:t>544,810</w:t>
            </w:r>
          </w:p>
        </w:tc>
        <w:tc>
          <w:tcPr>
            <w:tcW w:w="245" w:type="dxa"/>
            <w:tcBorders/>
            <w:tcMar>
              <w:bottom w:w="0" w:type="dxa"/>
            </w:tcMar>
            <w:vAlign w:val="center"/>
          </w:tcPr>
          <w:p>
            <w:pPr>
              <w:pStyle w:val="TableContents"/>
              <w:bidi w:val="0"/>
              <w:spacing w:before="0" w:after="283"/>
              <w:jc w:val="left"/>
              <w:rPr/>
            </w:pPr>
            <w:r>
              <w:rPr/>
              <w:t>(6)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1,537,032</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i/>
              </w:rPr>
            </w:pPr>
            <w:r>
              <w:rPr>
                <w:i/>
              </w:rPr>
              <w:t>Former Chief Medical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514,500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196,796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689,324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1,400,620</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67"/>
        <w:gridCol w:w="252"/>
        <w:gridCol w:w="9886"/>
      </w:tblGrid>
      <w:tr>
        <w:trPr/>
        <w:tc>
          <w:tcPr>
            <w:tcW w:w="6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(1)</w:t>
            </w:r>
          </w:p>
        </w:tc>
        <w:tc>
          <w:tcPr>
            <w:tcW w:w="9886" w:type="dxa"/>
            <w:tcBorders/>
            <w:vAlign w:val="center"/>
          </w:tcPr>
          <w:p>
            <w:pPr>
              <w:pStyle w:val="TableContents"/>
              <w:bidi w:val="0"/>
              <w:spacing w:before="0" w:after="283"/>
              <w:jc w:val="both"/>
              <w:rPr/>
            </w:pPr>
            <w:r>
              <w:rPr/>
              <w:t>Amounts reported represent the aggregate grant date fair value of the stock options granted to the named executive officers during 2025 and 2024 under our 2024 Equity Incentive Plan (the “2024 Plan”), our 2021 Equity Incentive Plan (the “2021 Plan”) or our 2022 Inducement Equity Plan (the “Inducement Plan”), computed in accordance with Financial Accounting Standards Board (“FASB”) Accounting Standards Codification (“ASC”) Topic 718. The assumptions used in calculating the grant date fair value of the stock options reported in this column are set forth in Note 10 to our consolidated financial statements included in Item 8 of this Annual Report on Form 10-K. This amount does not reflect the actual economic value that may be realized by the named executive officer, which will depend on factors including the continued service of the executive and the future value of our stock.</w:t>
            </w:r>
          </w:p>
        </w:tc>
      </w:tr>
    </w:tbl>
    <w:tbl>
      <w:tblPr>
        <w:tblW w:w="5000" w:type="pct"/>
        <w:jc w:val="left"/>
        <w:tblInd w:w="0" w:type="dxa"/>
        <w:tblLayout w:type="fixed"/>
        <w:tblCellMar>
          <w:top w:w="0" w:type="dxa"/>
          <w:left w:w="0" w:type="dxa"/>
          <w:bottom w:w="0" w:type="dxa"/>
          <w:right w:w="0" w:type="dxa"/>
        </w:tblCellMar>
      </w:tblPr>
      <w:tblGrid>
        <w:gridCol w:w="67"/>
        <w:gridCol w:w="255"/>
        <w:gridCol w:w="9883"/>
      </w:tblGrid>
      <w:tr>
        <w:trPr/>
        <w:tc>
          <w:tcPr>
            <w:tcW w:w="6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(2)</w:t>
            </w:r>
          </w:p>
        </w:tc>
        <w:tc>
          <w:tcPr>
            <w:tcW w:w="9883" w:type="dxa"/>
            <w:tcBorders/>
            <w:vAlign w:val="center"/>
          </w:tcPr>
          <w:p>
            <w:pPr>
              <w:pStyle w:val="TableContents"/>
              <w:bidi w:val="0"/>
              <w:spacing w:before="0" w:after="283"/>
              <w:jc w:val="both"/>
              <w:rPr/>
            </w:pPr>
            <w:r>
              <w:rPr/>
              <w:t>Amounts reported represent the aggregate grant date fair value of the restricted stock unit awards granted to the named executive officers during 2024 under the 2021 Plan, computed in accordance with FASB ASC Topic 718. The assumptions used in calculating the grant date fair value of the restricted stock units reported in this column are set forth in Note 10 to our consolidated financial statements included in Item 8 of this Annual Report on Form 10-K. This amount does not reflect the actual economic value that may be realized by the named executive officer, which will depend on factors including the continued service of the executive and the future value of our stock.</w:t>
            </w:r>
          </w:p>
        </w:tc>
      </w:tr>
    </w:tbl>
    <w:tbl>
      <w:tblPr>
        <w:tblW w:w="5000" w:type="pct"/>
        <w:jc w:val="left"/>
        <w:tblInd w:w="0" w:type="dxa"/>
        <w:tblLayout w:type="fixed"/>
        <w:tblCellMar>
          <w:top w:w="0" w:type="dxa"/>
          <w:left w:w="0" w:type="dxa"/>
          <w:bottom w:w="0" w:type="dxa"/>
          <w:right w:w="0" w:type="dxa"/>
        </w:tblCellMar>
      </w:tblPr>
      <w:tblGrid>
        <w:gridCol w:w="71"/>
        <w:gridCol w:w="336"/>
        <w:gridCol w:w="9798"/>
      </w:tblGrid>
      <w:tr>
        <w:trPr/>
        <w:tc>
          <w:tcPr>
            <w:tcW w:w="7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(3)</w:t>
            </w:r>
          </w:p>
        </w:tc>
        <w:tc>
          <w:tcPr>
            <w:tcW w:w="9798" w:type="dxa"/>
            <w:tcBorders/>
            <w:vAlign w:val="center"/>
          </w:tcPr>
          <w:p>
            <w:pPr>
              <w:pStyle w:val="TableContents"/>
              <w:bidi w:val="0"/>
              <w:spacing w:before="0" w:after="283"/>
              <w:jc w:val="both"/>
              <w:rPr/>
            </w:pPr>
            <w:r>
              <w:rPr/>
              <w:t>Mr. Mahal was appointed as our President and Chief Executive Officer effective January 5, 2026.</w:t>
            </w:r>
          </w:p>
        </w:tc>
      </w:tr>
    </w:tbl>
    <w:tbl>
      <w:tblPr>
        <w:tblW w:w="5000" w:type="pct"/>
        <w:jc w:val="left"/>
        <w:tblInd w:w="0" w:type="dxa"/>
        <w:tblLayout w:type="fixed"/>
        <w:tblCellMar>
          <w:top w:w="0" w:type="dxa"/>
          <w:left w:w="0" w:type="dxa"/>
          <w:bottom w:w="0" w:type="dxa"/>
          <w:right w:w="0" w:type="dxa"/>
        </w:tblCellMar>
      </w:tblPr>
      <w:tblGrid>
        <w:gridCol w:w="95"/>
        <w:gridCol w:w="450"/>
        <w:gridCol w:w="9660"/>
      </w:tblGrid>
      <w:tr>
        <w:trPr/>
        <w:tc>
          <w:tcPr>
            <w:tcW w:w="9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pPr>
            <w:r>
              <w:rPr/>
              <w:t>(4)</w:t>
            </w:r>
          </w:p>
        </w:tc>
        <w:tc>
          <w:tcPr>
            <w:tcW w:w="9660" w:type="dxa"/>
            <w:tcBorders/>
            <w:vAlign w:val="center"/>
          </w:tcPr>
          <w:p>
            <w:pPr>
              <w:pStyle w:val="TableContents"/>
              <w:bidi w:val="0"/>
              <w:spacing w:before="0" w:after="283"/>
              <w:jc w:val="both"/>
              <w:rPr/>
            </w:pPr>
            <w:r>
              <w:rPr/>
              <w:t>Mr. Martell’s employment with us terminated effective January 5, 2026.</w:t>
            </w:r>
          </w:p>
        </w:tc>
      </w:tr>
    </w:tbl>
    <w:tbl>
      <w:tblPr>
        <w:tblW w:w="5000" w:type="pct"/>
        <w:jc w:val="left"/>
        <w:tblInd w:w="0" w:type="dxa"/>
        <w:tblLayout w:type="fixed"/>
        <w:tblCellMar>
          <w:top w:w="0" w:type="dxa"/>
          <w:left w:w="0" w:type="dxa"/>
          <w:bottom w:w="0" w:type="dxa"/>
          <w:right w:w="0" w:type="dxa"/>
        </w:tblCellMar>
      </w:tblPr>
      <w:tblGrid>
        <w:gridCol w:w="96"/>
        <w:gridCol w:w="454"/>
        <w:gridCol w:w="9655"/>
      </w:tblGrid>
      <w:tr>
        <w:trPr/>
        <w:tc>
          <w:tcPr>
            <w:tcW w:w="9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pPr>
            <w:r>
              <w:rPr/>
              <w:t>(5)</w:t>
            </w:r>
          </w:p>
        </w:tc>
        <w:tc>
          <w:tcPr>
            <w:tcW w:w="9655" w:type="dxa"/>
            <w:tcBorders/>
            <w:vAlign w:val="center"/>
          </w:tcPr>
          <w:p>
            <w:pPr>
              <w:pStyle w:val="TableContents"/>
              <w:bidi w:val="0"/>
              <w:spacing w:before="0" w:after="283"/>
              <w:jc w:val="both"/>
              <w:rPr/>
            </w:pPr>
            <w:r>
              <w:rPr/>
              <w:t>Dr. Tucker’s employment with us terminated effective August 1, 2025.</w:t>
            </w:r>
          </w:p>
        </w:tc>
      </w:tr>
    </w:tbl>
    <w:tbl>
      <w:tblPr>
        <w:tblW w:w="5000" w:type="pct"/>
        <w:jc w:val="left"/>
        <w:tblInd w:w="0" w:type="dxa"/>
        <w:tblLayout w:type="fixed"/>
        <w:tblCellMar>
          <w:top w:w="0" w:type="dxa"/>
          <w:left w:w="0" w:type="dxa"/>
          <w:bottom w:w="0" w:type="dxa"/>
          <w:right w:w="0" w:type="dxa"/>
        </w:tblCellMar>
      </w:tblPr>
      <w:tblGrid>
        <w:gridCol w:w="67"/>
        <w:gridCol w:w="292"/>
        <w:gridCol w:w="9846"/>
      </w:tblGrid>
      <w:tr>
        <w:trPr/>
        <w:tc>
          <w:tcPr>
            <w:tcW w:w="6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(6)</w:t>
            </w:r>
          </w:p>
        </w:tc>
        <w:tc>
          <w:tcPr>
            <w:tcW w:w="9846" w:type="dxa"/>
            <w:tcBorders/>
            <w:vAlign w:val="center"/>
          </w:tcPr>
          <w:p>
            <w:pPr>
              <w:pStyle w:val="TableContents"/>
              <w:bidi w:val="0"/>
              <w:spacing w:before="0" w:after="283"/>
              <w:jc w:val="both"/>
              <w:rPr/>
            </w:pPr>
            <w:r>
              <w:rPr/>
              <w:t>Amount reported consists of severance benefits, including the payment by the Company of COBRA premiums for Dr. Tucker and his covered dependents.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and Other Arrangements with Named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amended and restated employment agreements with our named executive officers generally provide for at-will employment and set forth the executive officer’s initial base salary and potential annual performance bonus, applicable signing bonuses, eligibility for employee benefits, confirmation of the terms of previously issued equity grants, and severance benefits on a qualifying termination of employment or resignation. In addition, each of our named executive officers has executed our standard employee confidential information and inventions assignment agreement. The key terms of these agreements are described below.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Jeet Mahal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2021, we entered into an Employment Agreement with Jeet Mahal (the “Mahal Employment Agreement”) as our Chief Financial Officer and Business Officer. The Mahal Employment Agreement initially provided for an annual base salary of $400,000, subject to adjustment from time to time, and a target annual incentive bonus of 40% of his base salary. In accordance with the Mahal Employment Agreement, on March 21, 2022, Mr. Mahal was granted an option to purchase 8,727 shares of our common stock pursuant to the 2021 Plan, of which 25% of the total number of shares subject to the option vested on March 21, 2023 and 1/48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total number of shares subject to the option vest monthly thereafter, subject in each case to Mr. Mahal’s continued service to us on each vesting date. Effective March 1, 2022, Mr. Mahal’s annual base salary was increased to $416,000. Then, effective March 21, 2022, Mr. Mahal was promoted to the role of our Chief Operating and Financial Officer, at which time his annual base salary was increased to $445,000 and his target bonus percentage was increased to 45%. Mr. Mahal transitioned to the role of our Chief Operating Officer effective September 22, 2023. In connection with Mr. Mahal’s appointment and transition to the role of Chief Executive Officer and President effective January 5, 2026, Mr. Mahal’s annual base salary was increased to $600,000 and his target bonus percentage was increased to 50%.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Mahal Employment Agreement, Mr. Mahal was also eligible to participate in the benefit plans that are generally available to all of our executive employees. Mr. Mahal’s employment with us was at-will, meaning either we or Mr. Mahal may terminate the employment relationship with or without cause. However, Mr. Mahal must provide at least 30 days’ advance written notice of any termination of his employment under the Mahal Employment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2024, we entered into an Amended and Restated Employment Agreement with Mr. Mahal (the “Mahal A&amp;R Employment Agreement”), pursuant to which he continued to serve as our Chief Operating Officer through January 5, 2026. Pursuant to the Mahal A&amp;R Employment Agreement, Mr. Mahal’s initial annualized salary was $481,301, and he was eligible to receive an annual performance bonus of up to 45% of his base salary. On January 5, 2026, Mr. Mahal was appointed as our President and Chief Executive Officer. In connection with the appointment, Mr. Mahal’s base salary was increased to $600,000 and his target bonus percentage for 2026 was increased to 50%, in each case effective January 1, 2026. Mr. Mahal’s employment is on an “at will” basis. Mr. Mahal is also entitled to other customary employment benefits, including reimbursement of expenses, paid vacation, and shall be eligible to participate in all benefit plans that are generally made available to our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Mahal A&amp;R Employment Agreement provides that if Mr. Mahal is terminated by us without “Cause” or by Mr. Mahal for “Good Reason” (as each term is defined in the Mahal A&amp;R Employment Agreement), then Mr. Mahal shall be entitled to receive an amount equal to 12 months of his base salary, payable in accordance with our payroll cycle and we shall pay COBRA premiums for Mr. Mahal and his covered dependents for a period of up to 12 months, subject in each case to Mr. Mahal executing a release in our favor. Additionally, in the event Mr. Mahal’s employment is terminated by us without “Cause” or is terminated by Mr. Mahal for “Good Reason” (as each term is defined in the Mahal A&amp;R Employment Agreement), in either case within 24 months following a “Change in Control” (as defined in the Mahal A&amp;R Employment Agreement), Mr. Mahal shall be entitled to receive the sum of (i) 12 months of his base salary plus (ii) 100% of Mr. Mahal’s target incentive bonus for the year in which the termination occurred, any service-based outstanding equity awards held by Mr. Mahal shall become fully vested and any performance-based vesting requirement shall be deemed satisfied at target and we shall pay COBRA premiums for Mr. Mahal and his covered dependents for a period of up to 12 months, subject in each case to Mr. Mahal executing a release in our favor.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Herb Cross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Offer Letter with Herb Cross, dated September 19, 2023 (the “Cross Offer Letter”), pursuant to which Mr. Cross became our Chief Financial Officer. Pursuant to the Cross Offer Letter, Mr. Cross’ initial annualized salary was $460,000, and he was eligible to receive an annual performance bonus of up to 45% of his base salary. His salary and performance bonus percentage may be adjusted in the future at the discretion of our Compensation Committee. Pursuant to the Cross Offer Letter, Mr. Cross received a sign-on bonus of $100,000. If Mr. Cross had resigned from us without Good Reason or no reason or Mr. Cross was terminated by us for Cause on or prior to September 22, 2024, Mr. Cross was required to repay us 100% of the sign-on bonus within 30 days of the date Mr. Cross ceases to be an employee. In addition, Mr. Cross was granted an option to purchase 55,000 shares of our common stock, of which 25% of the total number of shares subject to the option will vest on September 22, 2024 and 1/48th of the total number of shares subject to the option will vest monthly thereafter, subject in each case to Mr. Cross’ continued service to us on each vesting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2024, we entered into an Amended and Restated Employment Agreement with Mr. Cross (the “Cross A&amp;R Employment Agreement”), pursuant to which he will continue to serve as our Chief Financial Officer. Pursuant to the Cross A&amp;R Employment Agreement, Mr. Cross’ initial annualized salary was $476,100, and he is eligible to receive an annual performance bonus of up to 45% of his base salary. His salary and performance bonus percentage may be adjusted in the future at the discretion of the Compensation Committee and Mr. Cross’ base salary was most recently increased to $510,300, effective January 1, 2026. Mr. Cross’ employment is on an “at will” basis. Mr. Cross is also entitled to other customary employment benefits, including reimbursement of expenses, paid vacation, and shall be eligible to participate in all benefit plans that are generally made available to our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Cross A&amp;R Employment Agreement provides that if Mr. Cross is terminated by us without “Cause” or by Mr. Cross for “Good Reason” (as each term is defined in the Cross A&amp;R Employment Agreement), then Mr. Cross shall be entitled to receive an amount equal to 12 months of his base salary, payable in accordance with our payroll cycle and we shall pay COBRA premiums for Mr. Cross and his covered dependents for a period of up to 12 months, subject in each case to Mr. Cross executing a release in our favor. Additionally, in the event Mr. Cross’ employment is terminated by us without “Cause” or is terminated by Mr. Cross for “Good Reason” (as each term is defined in the Cross A&amp;R Employment Agreement), in either case within 24 months following a “Change in Control” (as defined in the Cross A&amp;R Employment Agreement), Mr. Cross shall be entitled to receive the sum of (i) 12 months of his base salary plus (ii) 100% of Mr. Cross’ target incentive bonus for the year in which the termination occurred, any service-based outstanding equity awards held by Mr. Cross shall become fully vested and any performance-based vesting requirement shall be deemed satisfied at target and we shall pay COBRA premiums for Mr. Cross and his covered dependents for a period of up to 12 months, subject in each case to Mr. Cross executing a release in our favor.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Ronald Martell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Employment Agreement with Ronald Martell, effective March 15, 2022 (the “Martell Employment Agreement”), pursuant to which Mr. Martell became our President and Chief Executive Officer. Pursuant to the Martell Employment Agreement, Mr. Martell’s initial annualized salary was $675,000, and he was eligible to receive an annual performance bonus of up to 50% of his base salary. His salary and performance bonus percentage may be adjusted in the future at the discretion of our Compensation Committee. Pursuant to the Martell Employment Agreement, Mr. Martell was granted an option to purchase 170,432 shares of our common stock, of which 25% of the total number of shares subject to the option vested on March 15, 2023 and 1/48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total number of shares subject to the option would vest monthly thereafter, subject in each case to Mr. Martell’s continued service to us on each vesting date. The agreement further provided that in the event we closed an equity financing of at least $50 million after the date of commencement of Mr. Martell’s employment with us, then, promptly following the closing of such financing, and subject to approval by the Board or our Compensation Committee, Mr. Martell would be granted an additional option to purchase 1.0% of the outstanding shares of our common stock (the “True-Up Option”), measured as of the date of grant. On February 2, 2023, Mr. Martell was granted an option to purchase 109,383 shares of our common stock in satisfaction of our obligation to issue the True-Up Option to Mr. Martell. The True-Up Option was scheduled to vest over four years, with 25% of the total number of shares subject to the True-Up Option vesting on February 2, 2024 and 1/48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total number of shares subject to the True-Up Option vesting monthly thereafter, subject in each case to Mr. Martell’s continued service to us on each vesting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Martell Employment Agreement provided that if Mr. Martell’s employment with us was terminated by us without “Cause” or by Mr. Martell for “Good Reason” (as each term is defined in the Martell Employment Agreement), then Mr. Martell would be entitled to receive 18 months of his base salary, payable in accordance with our payroll cycle, subject to Mr. Martell executing a release in favor of us. On April 13, 2023, we entered into an amendment to the Martell Employment Agreement with Mr. Martell (the “Martell Amendment”), which additionally provided that, in the event Mr. Martell’s employment was terminated by us without “Cause” or was terminated by Mr. Martell for “Good Reason” (as each term is defined in the Martell Employment Agreement), in either case within 24 months following a “Change in Control” of us (as defined in the Martell Amendment), all of the outstanding equity awards held by Mr. Martell would become fully vested, subject to Mr. Martell executing a release in favor of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2024, we entered into an Amended and Restated Employment Agreement with Mr. Martell (the “Martell A&amp;R Employment Agreement”), pursuant to which Mr. Martell continued to serve as our President and Chief Executive Officer through January 5, 2026. Pursuant to the Martell A&amp;R Employment Agreement, Mr. Martell’s initial annualized salary was $727,272, and he was eligible to receive an annual performance bonus of up to 50% of his base salary. His salary and performance bonus percentage could be adjusted at the discretion of the Compensation Committee. Mr. Martell’s employment was on an “at will” basis. Mr. Martell was also entitled to other customary employment benefits, including reimbursement of expenses, paid vacation, and was eligible to participate in all benefit plans that were generally made available to our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Martell A&amp;R Employment Agreement also provided that if Mr. Martell’s employment with us was terminated by us without “Cause” or by Mr. Martell for “Good Reason” (as each term is defined in the Martell A&amp;R Employment Agreement), then Mr. Martell would be entitled to receive an amount equal to 18 months of his base salary, payable in accordance with our payroll cycle and we would pay COBRA premiums for Mr. Martell and his covered dependents for a period of up to 18 months, subject in each case to Mr. Martell executing a release in our favor. Additionally, in the event Mr. Martell’s employment was terminated by us without “Cause” or is terminated by Mr. Martell for “Good Reason” (as each term is defined in the Martell A&amp;R Employment Agreement), in either case within 24 months following a “Change in Control” (as defined in the Martell A&amp;R Employment Agreement), Mr. Martell would be entitled to receive the sum of (i) 18 months of his base salary plus (ii) 1.5 times his target incentive bonus for the year in which the termination occurred, any service-based outstanding equity awards held by Mr. Martell would become fully vested and any performance-based vesting requirement would be deemed satisfied at target, and we would shall pay COBRA premiums for Mr. Martell and his covered dependents for a period of up to 18 months, subject in each case to Mr. Martell executing a release in our favor.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Martell’s employment with us terminated on January 5, 2026. On January 28, 2026, we entered into a separation agreement and general release with Mr. Martell pursuant to which Mr. Martell provided a customary release in favor of the Company and we agreed to pay Mr. Martell an amount equal to 18 months of his base salary, payable in accordance with our payroll cycle and COBRA premiums for Mr. Martell and his covered dependents for a period of up to 18 months, all in accordance with the Martell A&amp;R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Edwin Tucker, M.D.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Offer Letter with Edwin Tucker, M.D., dated June 7, 2023 (the “Tucker Offer Letter”), pursuant to which Dr. Tucker became our Chief Medical Officer. Pursuant to the Tucker Offer Letter, Dr. Tucker’s initial annualized salary was $490,000, and he was eligible to receive an annual performance bonus of up to 45% of his base salary. Pursuant to the Tucker Offer Letter, Dr. Tucker received a sign-on bonus of $50,000. If Dr. Tucker had resigned from us without Good Reason or no reason or Dr. Tucker was terminated by us for Cause on or prior to June 12, 2024, Dr. Tucker was required to repay us 100% of the sign-on bonus within 30 days of the date Dr. Tucker ceased to be an employee. In addition, Dr. Tucker was granted an option to purchase 40,000 shares of our common stock, of which 25% of the total number of shares subject to the option vested on June 12, 2024 and 1/48th of the total number of shares subject to the option would vest monthly thereafter, subject in each case to Dr. Tucker’s continued service to us on each vesting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2024, we entered into an Amended and Restated Employment Agreement with Dr. Tucker (the “Tucker A&amp;R Employment Agreement”), pursuant to which he continued to serve as our Chief Medical Officer until August 1, 2025. Pursuant to the Tucker A&amp;R Employment Agreement, Dr. Tucker’s initial annualized salary was $514,500 and he was eligible to receive an annual performance bonus of up to 45% of his base salary. Dr. Tucker’s base salary was most recently increased to $532,500, effective January 1, 2025. Dr. Tucker’s employment was on an “at will” basis. Dr. Tucker was also entitled to other customary employment benefits, including reimbursement of expenses, paid vacation, and shall be eligible to participate in all benefit plans that were generally made available to our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Tucker A&amp;R Employment Agreement provided that if Dr. Tucker was terminated by us without “Cause” or by Dr. Tucker for “Good Reason” (as each term is defined in the Tucker A&amp;R Employment Agreement), then Dr. Tucker would be entitled to receive an amount equal to 12 months of his base salary, payable in accordance with our payroll cycle and we would pay COBRA premiums for Dr. Tucker and his covered dependents for a period of up to 12 months, subject in each case to Dr. Tucker executing a release in our favor. Additionally, in the event Dr. Tucker’s employment was terminated by us without “Cause” or was terminated by Dr. Tucker for “Good Reason” (as each term is defined in the Tucker A&amp;R Employment Agreement), in either case within 24 months following a “Change in Control” (as defined in the Tucker A&amp;R Employment Agreement), Dr. Tucker would be entitled to receive the sum of (i) 12 months of his base salary plus (ii) 100% of Dr. Tucker’s target incentive bonus for the year in which the termination occurred, any service-based outstanding equity awards held by Dr. Tucker would become fully vested and any performance-based vesting requirement would be deemed satisfied at target and we would pay COBRA premiums for Dr. Tucker and his covered dependents for a period of up to 12 months, subject in each case to Dr. Tucker executing a release in our favor.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Tucker’s employment with us terminated on August 1, 2025. On July 10, 2025, we entered into a separation agreement and general release with Dr. Tucker pursuant to which Dr. Tucker provided a customary release in favor of the Company and we agreed to pay Dr. Tucker an amount equal to 12 months of his base salary in a lump sum, and COBRA premiums for Dr. Tucker and his covered dependents for a period of up to 12 months, all in accordance with the Tucker A&amp;R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as of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outstanding equity incentive plan awards held by each named executive officer as of December 31, 2025.</w:t>
      </w:r>
    </w:p>
    <w:p>
      <w:pPr>
        <w:pStyle w:val="TextBody"/>
        <w:bidi w:val="0"/>
        <w:spacing w:before="0" w:after="0"/>
        <w:ind w:left="0" w:right="0" w:firstLine="360"/>
        <w:jc w:val="both"/>
        <w:rPr>
          <w:caps w:val="false"/>
          <w:smallCaps w:val="false"/>
        </w:rPr>
      </w:pPr>
      <w:r>
        <w:rPr>
          <w:caps w:val="false"/>
          <w:smallCaps w:val="false"/>
        </w:rPr>
        <w:t> </w:t>
      </w:r>
    </w:p>
    <w:tbl>
      <w:tblPr>
        <w:tblW w:w="10590" w:type="dxa"/>
        <w:jc w:val="left"/>
        <w:tblInd w:w="0" w:type="dxa"/>
        <w:tblLayout w:type="fixed"/>
        <w:tblCellMar>
          <w:top w:w="0" w:type="dxa"/>
          <w:left w:w="0" w:type="dxa"/>
          <w:bottom w:w="0" w:type="dxa"/>
          <w:right w:w="0" w:type="dxa"/>
        </w:tblCellMar>
      </w:tblPr>
      <w:tblGrid>
        <w:gridCol w:w="605"/>
        <w:gridCol w:w="90"/>
        <w:gridCol w:w="500"/>
        <w:gridCol w:w="90"/>
        <w:gridCol w:w="90"/>
        <w:gridCol w:w="1205"/>
        <w:gridCol w:w="90"/>
        <w:gridCol w:w="90"/>
        <w:gridCol w:w="114"/>
        <w:gridCol w:w="806"/>
        <w:gridCol w:w="90"/>
        <w:gridCol w:w="90"/>
        <w:gridCol w:w="130"/>
        <w:gridCol w:w="925"/>
        <w:gridCol w:w="90"/>
        <w:gridCol w:w="90"/>
        <w:gridCol w:w="112"/>
        <w:gridCol w:w="568"/>
        <w:gridCol w:w="90"/>
        <w:gridCol w:w="90"/>
        <w:gridCol w:w="830"/>
        <w:gridCol w:w="90"/>
        <w:gridCol w:w="90"/>
        <w:gridCol w:w="90"/>
        <w:gridCol w:w="590"/>
        <w:gridCol w:w="90"/>
        <w:gridCol w:w="90"/>
        <w:gridCol w:w="90"/>
        <w:gridCol w:w="530"/>
        <w:gridCol w:w="90"/>
        <w:gridCol w:w="90"/>
        <w:gridCol w:w="107"/>
        <w:gridCol w:w="648"/>
        <w:gridCol w:w="230"/>
        <w:gridCol w:w="90"/>
        <w:gridCol w:w="93"/>
        <w:gridCol w:w="662"/>
        <w:gridCol w:w="135"/>
      </w:tblGrid>
      <w:tr>
        <w:trPr/>
        <w:tc>
          <w:tcPr>
            <w:tcW w:w="60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220" w:type="dxa"/>
            <w:gridSpan w:val="1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Option Awards</w:t>
            </w:r>
            <w:r>
              <w:rPr>
                <w:rFonts w:ascii="Times New Roman;Times;Serif" w:hAnsi="Times New Roman;Times;Serif"/>
                <w:b/>
                <w:i w:val="false"/>
                <w:caps w:val="false"/>
                <w:smallCaps w:val="false"/>
                <w:position w:val="5"/>
                <w:sz w:val="13"/>
                <w:sz w:val="16"/>
              </w:rPr>
              <w:t>(1)</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5360" w:type="dxa"/>
            <w:gridSpan w:val="21"/>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Stock Awards</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Name</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Grant</w:t>
              <w:br/>
              <w:t>Date</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20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Vesting</w:t>
              <w:br/>
              <w:t>Commencement</w:t>
              <w:br/>
              <w:t>Date</w:t>
            </w:r>
            <w:r>
              <w:rPr>
                <w:rFonts w:ascii="Times New Roman;Times;Serif" w:hAnsi="Times New Roman;Times;Serif"/>
                <w:b/>
                <w:i w:val="false"/>
                <w:caps w:val="false"/>
                <w:smallCaps w:val="false"/>
                <w:position w:val="5"/>
                <w:sz w:val="13"/>
                <w:sz w:val="16"/>
              </w:rPr>
              <w:t>(1)</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Number of</w:t>
              <w:br/>
              <w:t>Securities</w:t>
              <w:br/>
              <w:t>Underlying</w:t>
              <w:br/>
              <w:t>Unexercised</w:t>
              <w:br/>
              <w:t>Options</w:t>
              <w:br/>
              <w:t>Exercisable</w:t>
              <w:br/>
              <w:t>(#)</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Number of</w:t>
              <w:br/>
              <w:t>Securities</w:t>
              <w:br/>
              <w:t>Underlying</w:t>
              <w:br/>
              <w:t>Unexercised</w:t>
              <w:br/>
              <w:t>Options</w:t>
              <w:br/>
              <w:t>Unexercisable</w:t>
              <w:br/>
              <w:t>(#)</w:t>
            </w:r>
            <w:r>
              <w:rPr>
                <w:rFonts w:ascii="Times New Roman;Times;Serif" w:hAnsi="Times New Roman;Times;Serif"/>
                <w:b/>
                <w:i w:val="false"/>
                <w:caps w:val="false"/>
                <w:smallCaps w:val="false"/>
                <w:position w:val="5"/>
                <w:sz w:val="13"/>
                <w:sz w:val="16"/>
              </w:rPr>
              <w:t>(2)</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Option</w:t>
              <w:br/>
              <w:t>Exercise</w:t>
              <w:br/>
              <w:t>Price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Option</w:t>
              <w:br/>
              <w:t>Expiration</w:t>
              <w:br/>
              <w:t>Date</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Number</w:t>
              <w:br/>
              <w:t>of Shares</w:t>
              <w:br/>
              <w:t>or Units</w:t>
              <w:br/>
              <w:t>of Stock</w:t>
              <w:br/>
              <w:t>That</w:t>
              <w:br/>
              <w:t>Have Not</w:t>
              <w:br/>
              <w:t>Vested</w:t>
              <w:br/>
              <w:t>(#)</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Market</w:t>
              <w:br/>
              <w:t>Value</w:t>
              <w:br/>
              <w:t>of</w:t>
              <w:br/>
              <w:t>Shares</w:t>
              <w:br/>
              <w:t>or</w:t>
              <w:br/>
              <w:t>Units</w:t>
              <w:br/>
              <w:t>of</w:t>
              <w:br/>
              <w:t>Stock</w:t>
              <w:br/>
              <w:t>That</w:t>
              <w:br/>
              <w:t>Have</w:t>
              <w:br/>
              <w:t>Not</w:t>
              <w:br/>
              <w:t>Vested</w:t>
              <w:br/>
              <w:t>($)</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br/>
              <w:t>Incentive</w:t>
              <w:br/>
              <w:t>Plan</w:t>
              <w:br/>
              <w:t>Awards:</w:t>
              <w:br/>
              <w:t>Number</w:t>
              <w:br/>
              <w:t>of</w:t>
              <w:br/>
              <w:t>Unearned</w:t>
              <w:br/>
              <w:t>Shares,</w:t>
              <w:br/>
              <w:t>Units or</w:t>
              <w:br/>
              <w:t>Other</w:t>
              <w:br/>
              <w:t>Rights</w:t>
              <w:br/>
              <w:t>That</w:t>
              <w:br/>
              <w:t>Have Not</w:t>
              <w:br/>
              <w:t>Vested</w:t>
              <w:br/>
              <w:t>(#)</w:t>
            </w:r>
            <w:r>
              <w:rPr>
                <w:rFonts w:ascii="Times New Roman;Times;Serif" w:hAnsi="Times New Roman;Times;Serif"/>
                <w:b/>
                <w:i w:val="false"/>
                <w:caps w:val="false"/>
                <w:smallCaps w:val="false"/>
                <w:position w:val="5"/>
                <w:sz w:val="13"/>
                <w:sz w:val="16"/>
              </w:rPr>
              <w:t>(3)</w:t>
            </w:r>
          </w:p>
        </w:tc>
        <w:tc>
          <w:tcPr>
            <w:tcW w:w="23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br/>
              <w:t>Incentive</w:t>
              <w:br/>
              <w:t>Plan</w:t>
              <w:br/>
              <w:t>Awards:</w:t>
              <w:br/>
              <w:t>Market</w:t>
              <w:br/>
              <w:t>or Payout</w:t>
              <w:br/>
              <w:t>Value of</w:t>
              <w:br/>
              <w:t>Unearned</w:t>
              <w:br/>
              <w:t>Shares,</w:t>
              <w:br/>
              <w:t>Units or</w:t>
              <w:br/>
              <w:t>Other</w:t>
              <w:br/>
              <w:t>Rights</w:t>
              <w:br/>
              <w:t>That</w:t>
              <w:br/>
              <w:t>Have Not</w:t>
              <w:br/>
              <w:t>Vested</w:t>
              <w:br/>
              <w:t>($)</w:t>
            </w:r>
            <w:r>
              <w:rPr>
                <w:rFonts w:ascii="Times New Roman;Times;Serif" w:hAnsi="Times New Roman;Times;Serif"/>
                <w:b/>
                <w:i w:val="false"/>
                <w:caps w:val="false"/>
                <w:smallCaps w:val="false"/>
                <w:position w:val="5"/>
                <w:sz w:val="13"/>
                <w:sz w:val="16"/>
              </w:rPr>
              <w:t>(4)</w:t>
            </w:r>
          </w:p>
        </w:tc>
        <w:tc>
          <w:tcPr>
            <w:tcW w:w="13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Jeet Mahal</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6/1/2020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12/12/2019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13,772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6/1/2030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3/21/2022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12/7/2021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3,396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35.40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3/21/2032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3/21/2022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3/21/2022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5,534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35.40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3/21/2032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4/7/2022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3/21/2022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4,540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31.20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4/7/2032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3/17/2023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3/3/2023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24,507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10,942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18.70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3/17/2033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2/15/2024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2/15/2024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18,333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21,667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17.95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2/15/2034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2/13/2025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2/13/2025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2/13/2035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6/4/2025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6/4/2025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90,000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6/4/2035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Herb Cross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9/22/2023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9/22/2023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30,937</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9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24,063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56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9/22/2033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right"/>
              <w:rPr>
                <w:caps w:val="false"/>
                <w:smallCaps w:val="false"/>
              </w:rPr>
            </w:pPr>
            <w:r>
              <w:rPr>
                <w:caps w:val="false"/>
                <w:smallCaps w:val="false"/>
              </w:rPr>
              <w:t>—</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right"/>
              <w:rPr>
                <w:caps w:val="false"/>
                <w:smallCaps w:val="false"/>
              </w:rPr>
            </w:pPr>
            <w:r>
              <w:rPr>
                <w:caps w:val="false"/>
                <w:smallCaps w:val="false"/>
              </w:rPr>
              <w:t>—</w:t>
            </w:r>
          </w:p>
        </w:tc>
        <w:tc>
          <w:tcPr>
            <w:tcW w:w="13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2/15/2024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2/15/2024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18,333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9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21,667</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56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17.95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2/15/2034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right"/>
              <w:rPr>
                <w:caps w:val="false"/>
                <w:smallCaps w:val="false"/>
              </w:rPr>
            </w:pPr>
            <w:r>
              <w:rPr>
                <w:caps w:val="false"/>
                <w:smallCaps w:val="false"/>
              </w:rPr>
              <w:t>—</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right"/>
              <w:rPr>
                <w:caps w:val="false"/>
                <w:smallCaps w:val="false"/>
              </w:rPr>
            </w:pPr>
            <w:r>
              <w:rPr>
                <w:caps w:val="false"/>
                <w:smallCaps w:val="false"/>
              </w:rPr>
              <w:t>—</w:t>
            </w:r>
          </w:p>
        </w:tc>
        <w:tc>
          <w:tcPr>
            <w:tcW w:w="13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2/13/2025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2/13/2025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9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56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2/13/2035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right"/>
              <w:rPr>
                <w:caps w:val="false"/>
                <w:smallCaps w:val="false"/>
              </w:rPr>
            </w:pPr>
            <w:r>
              <w:rPr>
                <w:caps w:val="false"/>
                <w:smallCaps w:val="false"/>
              </w:rPr>
              <w:t>—</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right"/>
              <w:rPr>
                <w:caps w:val="false"/>
                <w:smallCaps w:val="false"/>
              </w:rPr>
            </w:pPr>
            <w:r>
              <w:rPr>
                <w:caps w:val="false"/>
                <w:smallCaps w:val="false"/>
              </w:rPr>
              <w:t>—</w:t>
            </w:r>
          </w:p>
        </w:tc>
        <w:tc>
          <w:tcPr>
            <w:tcW w:w="13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9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90,000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56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6/4/2035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right"/>
              <w:rPr>
                <w:caps w:val="false"/>
                <w:smallCaps w:val="false"/>
              </w:rPr>
            </w:pPr>
            <w:r>
              <w:rPr>
                <w:caps w:val="false"/>
                <w:smallCaps w:val="false"/>
              </w:rPr>
              <w:t>—</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right"/>
              <w:rPr>
                <w:caps w:val="false"/>
                <w:smallCaps w:val="false"/>
              </w:rPr>
            </w:pPr>
            <w:r>
              <w:rPr>
                <w:caps w:val="false"/>
                <w:smallCaps w:val="false"/>
              </w:rPr>
              <w:t>—</w:t>
            </w:r>
          </w:p>
        </w:tc>
        <w:tc>
          <w:tcPr>
            <w:tcW w:w="13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Ronald Martell</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3/21/2022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3/15/2022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159,782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10,650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35.40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3/21/2032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2/2/2023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2/2/2023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77,479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31,904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17.80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2/2/2033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3/17/2023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3/3/2023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34,368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15,631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18.70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3/17/2033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2/15/2024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2/15/2024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45,833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54,167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17.95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2/15/2034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6/10/2024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6/10/2024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3,750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6,250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23.95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6/10/34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6/10/2024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6/10/2024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20,000</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position w:val="5"/>
                <w:sz w:val="13"/>
                <w:sz w:val="16"/>
              </w:rPr>
              <w:t>(5)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427,600</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2/13/2025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2/13/2025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130,000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2/13/2035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6/4/2025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6/4/2025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234,000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6/4/2035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Edwin Tucker, M.D.</w:t>
            </w:r>
            <w:r>
              <w:rPr>
                <w:rFonts w:ascii="Times New Roman;Times;Serif" w:hAnsi="Times New Roman;Times;Serif"/>
                <w:b w:val="false"/>
                <w:i w:val="false"/>
                <w:caps w:val="false"/>
                <w:smallCaps w:val="false"/>
                <w:position w:val="5"/>
                <w:sz w:val="13"/>
                <w:sz w:val="16"/>
              </w:rPr>
              <w:t>(6)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67"/>
        <w:gridCol w:w="262"/>
        <w:gridCol w:w="9876"/>
      </w:tblGrid>
      <w:tr>
        <w:trPr/>
        <w:tc>
          <w:tcPr>
            <w:tcW w:w="6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(1)</w:t>
            </w:r>
          </w:p>
        </w:tc>
        <w:tc>
          <w:tcPr>
            <w:tcW w:w="9876" w:type="dxa"/>
            <w:tcBorders/>
            <w:vAlign w:val="center"/>
          </w:tcPr>
          <w:p>
            <w:pPr>
              <w:pStyle w:val="TableContents"/>
              <w:bidi w:val="0"/>
              <w:spacing w:before="0" w:after="283"/>
              <w:jc w:val="both"/>
              <w:rPr/>
            </w:pPr>
            <w:r>
              <w:rPr/>
              <w:t>Unless otherwise indicated, the shares underlying the stock options that are not fully vested are scheduled to vest over a four-year period, with 1/4</w:t>
            </w:r>
            <w:r>
              <w:rPr>
                <w:position w:val="7"/>
                <w:sz w:val="16"/>
                <w:sz w:val="20"/>
              </w:rPr>
              <w:t>th</w:t>
            </w:r>
            <w:r>
              <w:rPr/>
              <w:t xml:space="preserve"> vesting on the first anniversary of the vesting commencement date and 1/48</w:t>
            </w:r>
            <w:r>
              <w:rPr>
                <w:position w:val="7"/>
                <w:sz w:val="16"/>
                <w:sz w:val="20"/>
              </w:rPr>
              <w:t>th</w:t>
            </w:r>
            <w:r>
              <w:rPr/>
              <w:t xml:space="preserve"> vesting on a monthly basis thereafter through the fourth anniversary of the vesting commencement date, subject to the named executive officer’s continued service with us.</w:t>
            </w:r>
          </w:p>
        </w:tc>
      </w:tr>
    </w:tbl>
    <w:tbl>
      <w:tblPr>
        <w:tblW w:w="5000" w:type="pct"/>
        <w:jc w:val="left"/>
        <w:tblInd w:w="0" w:type="dxa"/>
        <w:tblLayout w:type="fixed"/>
        <w:tblCellMar>
          <w:top w:w="0" w:type="dxa"/>
          <w:left w:w="0" w:type="dxa"/>
          <w:bottom w:w="0" w:type="dxa"/>
          <w:right w:w="0" w:type="dxa"/>
        </w:tblCellMar>
      </w:tblPr>
      <w:tblGrid>
        <w:gridCol w:w="67"/>
        <w:gridCol w:w="258"/>
        <w:gridCol w:w="9880"/>
      </w:tblGrid>
      <w:tr>
        <w:trPr/>
        <w:tc>
          <w:tcPr>
            <w:tcW w:w="6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(2)</w:t>
            </w:r>
          </w:p>
        </w:tc>
        <w:tc>
          <w:tcPr>
            <w:tcW w:w="9880" w:type="dxa"/>
            <w:tcBorders/>
            <w:vAlign w:val="center"/>
          </w:tcPr>
          <w:p>
            <w:pPr>
              <w:pStyle w:val="TableContents"/>
              <w:bidi w:val="0"/>
              <w:spacing w:before="0" w:after="283"/>
              <w:jc w:val="both"/>
              <w:rPr/>
            </w:pPr>
            <w:r>
              <w:rPr/>
              <w:t>The unvested shares underlying the awards held by Mr. Martell were subject to accelerated vesting as described under the heading “Employment and Other Arrangements with Named Executive Officers—Employment Agreement with Ronald Martell” of this Item 11. The unvested shares underlying the awards held by Mr. Cross, Mr. Mahal and Dr. Tucker are or were subject to accelerated vesting as described under the heading “Employment and Other Arrangements with Named Executive Officers” of this Item 11.</w:t>
            </w:r>
          </w:p>
        </w:tc>
      </w:tr>
    </w:tbl>
    <w:tbl>
      <w:tblPr>
        <w:tblW w:w="5000" w:type="pct"/>
        <w:jc w:val="left"/>
        <w:tblInd w:w="0" w:type="dxa"/>
        <w:tblLayout w:type="fixed"/>
        <w:tblCellMar>
          <w:top w:w="0" w:type="dxa"/>
          <w:left w:w="0" w:type="dxa"/>
          <w:bottom w:w="0" w:type="dxa"/>
          <w:right w:w="0" w:type="dxa"/>
        </w:tblCellMar>
      </w:tblPr>
      <w:tblGrid>
        <w:gridCol w:w="67"/>
        <w:gridCol w:w="257"/>
        <w:gridCol w:w="9881"/>
      </w:tblGrid>
      <w:tr>
        <w:trPr/>
        <w:tc>
          <w:tcPr>
            <w:tcW w:w="6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(3)</w:t>
            </w:r>
          </w:p>
        </w:tc>
        <w:tc>
          <w:tcPr>
            <w:tcW w:w="9881" w:type="dxa"/>
            <w:tcBorders/>
            <w:vAlign w:val="center"/>
          </w:tcPr>
          <w:p>
            <w:pPr>
              <w:pStyle w:val="TableContents"/>
              <w:bidi w:val="0"/>
              <w:spacing w:before="0" w:after="283"/>
              <w:jc w:val="both"/>
              <w:rPr/>
            </w:pPr>
            <w:r>
              <w:rPr/>
              <w:t>If, by June 10, 2026, the closing price of our common stock on Nasdaq was at or above $35.00 per share (subject to adjustment for recapitalizations, stock splits and similar transactions) for thirty consecutive calendar days, all of the shares subject to the award shall vest in full on such thirtieth day, so long as the award holder provides continuous services to us on and through the vesting date, inclusive. This grant ceased to be eligible for vesting upon the termination of Mr. Martell’s employment with us effective January 5, 2026.</w:t>
            </w:r>
          </w:p>
        </w:tc>
      </w:tr>
    </w:tbl>
    <w:tbl>
      <w:tblPr>
        <w:tblW w:w="5000" w:type="pct"/>
        <w:jc w:val="left"/>
        <w:tblInd w:w="0" w:type="dxa"/>
        <w:tblLayout w:type="fixed"/>
        <w:tblCellMar>
          <w:top w:w="0" w:type="dxa"/>
          <w:left w:w="0" w:type="dxa"/>
          <w:bottom w:w="0" w:type="dxa"/>
          <w:right w:w="0" w:type="dxa"/>
        </w:tblCellMar>
      </w:tblPr>
      <w:tblGrid>
        <w:gridCol w:w="67"/>
        <w:gridCol w:w="278"/>
        <w:gridCol w:w="9860"/>
      </w:tblGrid>
      <w:tr>
        <w:trPr/>
        <w:tc>
          <w:tcPr>
            <w:tcW w:w="6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(4)</w:t>
            </w:r>
          </w:p>
        </w:tc>
        <w:tc>
          <w:tcPr>
            <w:tcW w:w="9860" w:type="dxa"/>
            <w:tcBorders/>
            <w:vAlign w:val="center"/>
          </w:tcPr>
          <w:p>
            <w:pPr>
              <w:pStyle w:val="TableContents"/>
              <w:bidi w:val="0"/>
              <w:spacing w:before="0" w:after="283"/>
              <w:jc w:val="both"/>
              <w:rPr/>
            </w:pPr>
            <w:r>
              <w:rPr/>
              <w:t>Amounts in this column are calculated by multiplying the number of shares shown as unvested in the prior column by $1.83, the closing price of our common stock on December 31, 2025, as reported on Nasdaq.</w:t>
            </w:r>
          </w:p>
        </w:tc>
      </w:tr>
    </w:tbl>
    <w:tbl>
      <w:tblPr>
        <w:tblW w:w="5000" w:type="pct"/>
        <w:jc w:val="left"/>
        <w:tblInd w:w="0" w:type="dxa"/>
        <w:tblLayout w:type="fixed"/>
        <w:tblCellMar>
          <w:top w:w="0" w:type="dxa"/>
          <w:left w:w="0" w:type="dxa"/>
          <w:bottom w:w="0" w:type="dxa"/>
          <w:right w:w="0" w:type="dxa"/>
        </w:tblCellMar>
      </w:tblPr>
      <w:tblGrid>
        <w:gridCol w:w="95"/>
        <w:gridCol w:w="450"/>
        <w:gridCol w:w="9660"/>
      </w:tblGrid>
      <w:tr>
        <w:trPr/>
        <w:tc>
          <w:tcPr>
            <w:tcW w:w="9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pPr>
            <w:r>
              <w:rPr/>
              <w:t>(5)</w:t>
            </w:r>
          </w:p>
        </w:tc>
        <w:tc>
          <w:tcPr>
            <w:tcW w:w="9660" w:type="dxa"/>
            <w:tcBorders/>
            <w:vAlign w:val="center"/>
          </w:tcPr>
          <w:p>
            <w:pPr>
              <w:pStyle w:val="TableContents"/>
              <w:bidi w:val="0"/>
              <w:spacing w:before="0" w:after="283"/>
              <w:jc w:val="both"/>
              <w:rPr/>
            </w:pPr>
            <w:r>
              <w:rPr/>
              <w:t>Mr. Martell’s employment with us terminated effective January 5, 2026.</w:t>
            </w:r>
          </w:p>
        </w:tc>
      </w:tr>
    </w:tbl>
    <w:tbl>
      <w:tblPr>
        <w:tblW w:w="5000" w:type="pct"/>
        <w:jc w:val="left"/>
        <w:tblInd w:w="0" w:type="dxa"/>
        <w:tblLayout w:type="fixed"/>
        <w:tblCellMar>
          <w:top w:w="0" w:type="dxa"/>
          <w:left w:w="0" w:type="dxa"/>
          <w:bottom w:w="0" w:type="dxa"/>
          <w:right w:w="0" w:type="dxa"/>
        </w:tblCellMar>
      </w:tblPr>
      <w:tblGrid>
        <w:gridCol w:w="67"/>
        <w:gridCol w:w="301"/>
        <w:gridCol w:w="9837"/>
      </w:tblGrid>
      <w:tr>
        <w:trPr/>
        <w:tc>
          <w:tcPr>
            <w:tcW w:w="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(6)</w:t>
            </w:r>
          </w:p>
        </w:tc>
        <w:tc>
          <w:tcPr>
            <w:tcW w:w="9837" w:type="dxa"/>
            <w:tcBorders/>
            <w:vAlign w:val="center"/>
          </w:tcPr>
          <w:p>
            <w:pPr>
              <w:pStyle w:val="TableContents"/>
              <w:bidi w:val="0"/>
              <w:spacing w:before="0" w:after="283"/>
              <w:jc w:val="both"/>
              <w:rPr/>
            </w:pPr>
            <w:r>
              <w:rPr/>
              <w:t>Dr. Tucker’s employment with us terminated effective August 1, 2025. He did not hold any equity awards as of December 31,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Non-Employee Director Compensation Policy for the compensation of our non-employee directors, during 2025, each of our non-employee directors received annual retainers, subject to proration, for service on our Board and its committees as follows:</w:t>
      </w:r>
    </w:p>
    <w:p>
      <w:pPr>
        <w:pStyle w:val="TextBody"/>
        <w:bidi w:val="0"/>
        <w:spacing w:before="0" w:after="0"/>
        <w:ind w:left="0" w:right="0" w:firstLine="360"/>
        <w:jc w:val="both"/>
        <w:rPr>
          <w:caps w:val="false"/>
          <w:smallCaps w:val="false"/>
        </w:rPr>
      </w:pPr>
      <w:r>
        <w:rPr>
          <w:caps w:val="false"/>
          <w:smallCaps w:val="false"/>
        </w:rPr>
        <w:t> </w:t>
      </w:r>
    </w:p>
    <w:tbl>
      <w:tblPr>
        <w:tblW w:w="7889" w:type="dxa"/>
        <w:jc w:val="left"/>
        <w:tblInd w:w="0" w:type="dxa"/>
        <w:tblLayout w:type="fixed"/>
        <w:tblCellMar>
          <w:top w:w="0" w:type="dxa"/>
          <w:left w:w="0" w:type="dxa"/>
          <w:bottom w:w="0" w:type="dxa"/>
          <w:right w:w="0" w:type="dxa"/>
        </w:tblCellMar>
      </w:tblPr>
      <w:tblGrid>
        <w:gridCol w:w="4910"/>
        <w:gridCol w:w="90"/>
        <w:gridCol w:w="258"/>
        <w:gridCol w:w="1082"/>
        <w:gridCol w:w="90"/>
        <w:gridCol w:w="90"/>
        <w:gridCol w:w="237"/>
        <w:gridCol w:w="997"/>
        <w:gridCol w:w="135"/>
      </w:tblGrid>
      <w:tr>
        <w:trPr/>
        <w:tc>
          <w:tcPr>
            <w:tcW w:w="49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Chairperson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Each Other</w:t>
              <w:br/>
              <w:t>Member</w:t>
            </w:r>
          </w:p>
        </w:tc>
        <w:tc>
          <w:tcPr>
            <w:tcW w:w="13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Board of Directors</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082" w:type="dxa"/>
            <w:tcBorders/>
            <w:shd w:fill="CCEEFF" w:val="clear"/>
            <w:vAlign w:val="center"/>
          </w:tcPr>
          <w:p>
            <w:pPr>
              <w:pStyle w:val="TableContents"/>
              <w:bidi w:val="0"/>
              <w:spacing w:before="0" w:after="283"/>
              <w:jc w:val="right"/>
              <w:rPr/>
            </w:pPr>
            <w:r>
              <w:rPr/>
              <w:t>70,000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997" w:type="dxa"/>
            <w:tcBorders/>
            <w:shd w:fill="CCEEFF" w:val="clear"/>
            <w:vAlign w:val="center"/>
          </w:tcPr>
          <w:p>
            <w:pPr>
              <w:pStyle w:val="TableContents"/>
              <w:bidi w:val="0"/>
              <w:spacing w:before="0" w:after="283"/>
              <w:jc w:val="right"/>
              <w:rPr/>
            </w:pPr>
            <w:r>
              <w:rPr/>
              <w:t>40,000</w:t>
            </w:r>
          </w:p>
        </w:tc>
        <w:tc>
          <w:tcPr>
            <w:tcW w:w="13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Audit Committee</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1082" w:type="dxa"/>
            <w:tcBorders/>
            <w:vAlign w:val="center"/>
          </w:tcPr>
          <w:p>
            <w:pPr>
              <w:pStyle w:val="TableContents"/>
              <w:bidi w:val="0"/>
              <w:spacing w:before="0" w:after="283"/>
              <w:jc w:val="right"/>
              <w:rPr/>
            </w:pPr>
            <w:r>
              <w:rPr/>
              <w:t>15,000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w:t>
            </w:r>
          </w:p>
        </w:tc>
        <w:tc>
          <w:tcPr>
            <w:tcW w:w="997" w:type="dxa"/>
            <w:tcBorders/>
            <w:vAlign w:val="center"/>
          </w:tcPr>
          <w:p>
            <w:pPr>
              <w:pStyle w:val="TableContents"/>
              <w:bidi w:val="0"/>
              <w:spacing w:before="0" w:after="283"/>
              <w:jc w:val="right"/>
              <w:rPr/>
            </w:pPr>
            <w:r>
              <w:rPr/>
              <w:t>7,500</w:t>
            </w:r>
          </w:p>
        </w:tc>
        <w:tc>
          <w:tcPr>
            <w:tcW w:w="13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Compensation Committee</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082" w:type="dxa"/>
            <w:tcBorders/>
            <w:shd w:fill="CCEEFF" w:val="clear"/>
            <w:vAlign w:val="center"/>
          </w:tcPr>
          <w:p>
            <w:pPr>
              <w:pStyle w:val="TableContents"/>
              <w:bidi w:val="0"/>
              <w:spacing w:before="0" w:after="283"/>
              <w:jc w:val="right"/>
              <w:rPr/>
            </w:pPr>
            <w:r>
              <w:rPr/>
              <w:t>10,000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997" w:type="dxa"/>
            <w:tcBorders/>
            <w:shd w:fill="CCEEFF" w:val="clear"/>
            <w:vAlign w:val="center"/>
          </w:tcPr>
          <w:p>
            <w:pPr>
              <w:pStyle w:val="TableContents"/>
              <w:bidi w:val="0"/>
              <w:spacing w:before="0" w:after="283"/>
              <w:jc w:val="right"/>
              <w:rPr/>
            </w:pPr>
            <w:r>
              <w:rPr/>
              <w:t>5,000</w:t>
            </w:r>
          </w:p>
        </w:tc>
        <w:tc>
          <w:tcPr>
            <w:tcW w:w="13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Nominating and Corporate Governance Committee</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1082" w:type="dxa"/>
            <w:tcBorders/>
            <w:vAlign w:val="center"/>
          </w:tcPr>
          <w:p>
            <w:pPr>
              <w:pStyle w:val="TableContents"/>
              <w:bidi w:val="0"/>
              <w:spacing w:before="0" w:after="283"/>
              <w:jc w:val="right"/>
              <w:rPr/>
            </w:pPr>
            <w:r>
              <w:rPr/>
              <w:t>8,000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w:t>
            </w:r>
          </w:p>
        </w:tc>
        <w:tc>
          <w:tcPr>
            <w:tcW w:w="997" w:type="dxa"/>
            <w:tcBorders/>
            <w:vAlign w:val="center"/>
          </w:tcPr>
          <w:p>
            <w:pPr>
              <w:pStyle w:val="TableContents"/>
              <w:bidi w:val="0"/>
              <w:spacing w:before="0" w:after="283"/>
              <w:jc w:val="right"/>
              <w:rPr/>
            </w:pPr>
            <w:r>
              <w:rPr/>
              <w:t>4,000</w:t>
            </w:r>
          </w:p>
        </w:tc>
        <w:tc>
          <w:tcPr>
            <w:tcW w:w="13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Research and Development Committee</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082" w:type="dxa"/>
            <w:tcBorders/>
            <w:shd w:fill="CCEEFF" w:val="clear"/>
            <w:vAlign w:val="center"/>
          </w:tcPr>
          <w:p>
            <w:pPr>
              <w:pStyle w:val="TableContents"/>
              <w:bidi w:val="0"/>
              <w:spacing w:before="0" w:after="283"/>
              <w:jc w:val="right"/>
              <w:rPr/>
            </w:pPr>
            <w:r>
              <w:rPr/>
              <w:t>11,300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997" w:type="dxa"/>
            <w:tcBorders/>
            <w:shd w:fill="CCEEFF" w:val="clear"/>
            <w:vAlign w:val="center"/>
          </w:tcPr>
          <w:p>
            <w:pPr>
              <w:pStyle w:val="TableContents"/>
              <w:bidi w:val="0"/>
              <w:spacing w:before="0" w:after="283"/>
              <w:jc w:val="right"/>
              <w:rPr/>
            </w:pPr>
            <w:r>
              <w:rPr/>
              <w:t>6,300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cash retainers will be earned on a quarterly basis based on a calendar quarter, and, if applicable, will be prorated for the portion of the calendar quarter during which such non-employee director actually serves on our Board or a committee thereof, and will be paid in arrears no later than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end of each calendar quarter.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Non-Employee Director Compensation Policy also provides that we will reimburse reasonable expenses incurred by the non-employee directors in connection with attendance at Board or committee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Non-Employee Director Compensation Policy also provides that any new non-employee director elected or appointed to our Board will, upon his or her appointment to our Board, be granted a one-time stock option award to purchase 15,000 shares of our common stock, of which 25% of the total number of shares subject to the option shall vest on the one-year anniversary of the date of grant and 1/48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total number of shares subject to the option shall vest monthly thereafter, subject to the director’s continued service through such vesting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the date of each annual meeting of our stockholders, each individual who is a non-employee director immediately prior to such annual meeting and who will continue to serve as a non-employee director immediately following such annual meeting will be granted an annual stock option award to purchase 7,500 shares of our common stock, which shall vest in full upon the first anniversary of the date of the grant, subject to the director’s continued service through such vesting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Wiggans served as our non-employee Chairperson of the Board during 2025. In his capacity as Executive Chairperson, Mr. Wiggans is entitled to receive the same equity and cash compensation otherwise payable to our Chairperson of the Board under the Non-Employee Director Compensation Policy as if Mr. Wiggans was deemed not to be an employee.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with respect to Mr. Wiggans, employee directors receive no additional compensation for their service as a director.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 Compensation Table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the total compensation that was earned by or paid to each of our non-employee directors during the year ended December 31, 2025.</w:t>
      </w:r>
    </w:p>
    <w:p>
      <w:pPr>
        <w:pStyle w:val="TextBody"/>
        <w:bidi w:val="0"/>
        <w:spacing w:before="0" w:after="0"/>
        <w:ind w:left="0" w:right="0" w:firstLine="360"/>
        <w:jc w:val="both"/>
        <w:rPr>
          <w:caps w:val="false"/>
          <w:smallCaps w:val="false"/>
        </w:rPr>
      </w:pPr>
      <w:r>
        <w:rPr>
          <w:caps w:val="false"/>
          <w:smallCaps w:val="false"/>
        </w:rPr>
        <w:t> </w:t>
      </w:r>
    </w:p>
    <w:tbl>
      <w:tblPr>
        <w:tblW w:w="9243" w:type="dxa"/>
        <w:jc w:val="left"/>
        <w:tblInd w:w="0" w:type="dxa"/>
        <w:tblLayout w:type="fixed"/>
        <w:tblCellMar>
          <w:top w:w="0" w:type="dxa"/>
          <w:left w:w="0" w:type="dxa"/>
          <w:bottom w:w="28" w:type="dxa"/>
          <w:right w:w="0" w:type="dxa"/>
        </w:tblCellMar>
      </w:tblPr>
      <w:tblGrid>
        <w:gridCol w:w="2735"/>
        <w:gridCol w:w="90"/>
        <w:gridCol w:w="322"/>
        <w:gridCol w:w="1347"/>
        <w:gridCol w:w="90"/>
        <w:gridCol w:w="90"/>
        <w:gridCol w:w="252"/>
        <w:gridCol w:w="1057"/>
        <w:gridCol w:w="90"/>
        <w:gridCol w:w="90"/>
        <w:gridCol w:w="171"/>
        <w:gridCol w:w="1349"/>
        <w:gridCol w:w="335"/>
        <w:gridCol w:w="90"/>
        <w:gridCol w:w="170"/>
        <w:gridCol w:w="830"/>
        <w:gridCol w:w="135"/>
      </w:tblGrid>
      <w:tr>
        <w:trPr/>
        <w:tc>
          <w:tcPr>
            <w:tcW w:w="2735" w:type="dxa"/>
            <w:tcBorders>
              <w:bottom w:val="single" w:sz="12" w:space="0" w:color="000000"/>
            </w:tcBorders>
            <w:vAlign w:val="center"/>
          </w:tcPr>
          <w:p>
            <w:pPr>
              <w:pStyle w:val="TableContents"/>
              <w:bidi w:val="0"/>
              <w:spacing w:before="0" w:after="283"/>
              <w:jc w:val="left"/>
              <w:rPr>
                <w:b/>
              </w:rPr>
            </w:pPr>
            <w:r>
              <w:rPr>
                <w:b/>
              </w:rPr>
              <w:t>Name</w:t>
            </w:r>
          </w:p>
        </w:tc>
        <w:tc>
          <w:tcPr>
            <w:tcW w:w="90" w:type="dxa"/>
            <w:tcBorders/>
            <w:tcMar>
              <w:bottom w:w="0" w:type="dxa"/>
            </w:tcMar>
            <w:vAlign w:val="center"/>
          </w:tcPr>
          <w:p>
            <w:pPr>
              <w:pStyle w:val="TableContents"/>
              <w:bidi w:val="0"/>
              <w:spacing w:before="0" w:after="283"/>
              <w:jc w:val="center"/>
              <w:rPr/>
            </w:pPr>
            <w:r>
              <w:rPr/>
              <w:t> </w:t>
            </w:r>
          </w:p>
        </w:tc>
        <w:tc>
          <w:tcPr>
            <w:tcW w:w="1669" w:type="dxa"/>
            <w:gridSpan w:val="2"/>
            <w:tcBorders>
              <w:bottom w:val="single" w:sz="12" w:space="0" w:color="000000"/>
            </w:tcBorders>
            <w:vAlign w:val="center"/>
          </w:tcPr>
          <w:p>
            <w:pPr>
              <w:pStyle w:val="TableContents"/>
              <w:bidi w:val="0"/>
              <w:spacing w:before="0" w:after="283"/>
              <w:jc w:val="center"/>
              <w:rPr>
                <w:b/>
              </w:rPr>
            </w:pPr>
            <w:r>
              <w:rPr>
                <w:b/>
              </w:rPr>
              <w:t xml:space="preserve">Fees Earned or </w:t>
              <w:br/>
              <w:t>Paid in Cash</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30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trike w:val="false"/>
                <w:dstrike w:val="false"/>
                <w:u w:val="none"/>
                <w:effect w:val="none"/>
              </w:rPr>
            </w:pPr>
            <w:r>
              <w:rPr>
                <w:rFonts w:ascii="Times New Roman;Times;Serif" w:hAnsi="Times New Roman;Times;Serif"/>
                <w:b/>
                <w:strike w:val="false"/>
                <w:dstrike w:val="false"/>
                <w:u w:val="none"/>
                <w:effect w:val="none"/>
              </w:rPr>
              <w:t>Option</w:t>
              <w:br/>
              <w:t>Awards</w:t>
            </w:r>
            <w:r>
              <w:rPr>
                <w:rFonts w:ascii="Times New Roman;Times;Serif" w:hAnsi="Times New Roman;Times;Serif"/>
                <w:b/>
                <w:strike w:val="false"/>
                <w:dstrike w:val="false"/>
                <w:position w:val="8"/>
                <w:sz w:val="19"/>
                <w:u w:val="none"/>
                <w:effect w:val="none"/>
              </w:rPr>
              <w:t>(1)(2)</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520" w:type="dxa"/>
            <w:gridSpan w:val="2"/>
            <w:tcBorders>
              <w:bottom w:val="single" w:sz="12" w:space="0" w:color="000000"/>
            </w:tcBorders>
            <w:vAlign w:val="center"/>
          </w:tcPr>
          <w:p>
            <w:pPr>
              <w:pStyle w:val="TableContents"/>
              <w:bidi w:val="0"/>
              <w:spacing w:before="0" w:after="283"/>
              <w:jc w:val="center"/>
              <w:rPr>
                <w:b/>
              </w:rPr>
            </w:pPr>
            <w:r>
              <w:rPr>
                <w:b/>
              </w:rPr>
              <w:t>Other</w:t>
              <w:br/>
              <w:t>Compensation</w:t>
            </w:r>
          </w:p>
        </w:tc>
        <w:tc>
          <w:tcPr>
            <w:tcW w:w="3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135" w:type="dxa"/>
            <w:tcBorders/>
            <w:tcMar>
              <w:bottom w:w="0" w:type="dxa"/>
            </w:tcMar>
            <w:vAlign w:val="center"/>
          </w:tcPr>
          <w:p>
            <w:pPr>
              <w:pStyle w:val="TableContents"/>
              <w:bidi w:val="0"/>
              <w:spacing w:before="0" w:after="283"/>
              <w:jc w:val="center"/>
              <w:rPr/>
            </w:pPr>
            <w:r>
              <w:rPr/>
              <w:t> </w:t>
            </w:r>
          </w:p>
        </w:tc>
      </w:tr>
      <w:tr>
        <w:trPr/>
        <w:tc>
          <w:tcPr>
            <w:tcW w:w="2735" w:type="dxa"/>
            <w:tcBorders/>
            <w:shd w:fill="CCEEFF" w:val="clear"/>
            <w:tcMar>
              <w:bottom w:w="0" w:type="dxa"/>
            </w:tcMar>
            <w:vAlign w:val="center"/>
          </w:tcPr>
          <w:p>
            <w:pPr>
              <w:pStyle w:val="TableContents"/>
              <w:bidi w:val="0"/>
              <w:spacing w:before="0" w:after="283"/>
              <w:jc w:val="left"/>
              <w:rPr/>
            </w:pPr>
            <w:r>
              <w:rPr/>
              <w:t>Judith Shizuru, M.D., Ph.D.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2" w:type="dxa"/>
            <w:tcBorders/>
            <w:shd w:fill="CCEEFF" w:val="clear"/>
            <w:tcMar>
              <w:bottom w:w="0" w:type="dxa"/>
            </w:tcMar>
            <w:vAlign w:val="center"/>
          </w:tcPr>
          <w:p>
            <w:pPr>
              <w:pStyle w:val="TableContents"/>
              <w:bidi w:val="0"/>
              <w:spacing w:before="0" w:after="283"/>
              <w:jc w:val="left"/>
              <w:rPr/>
            </w:pPr>
            <w:r>
              <w:rPr/>
              <w:t>$</w:t>
            </w:r>
          </w:p>
        </w:tc>
        <w:tc>
          <w:tcPr>
            <w:tcW w:w="1347" w:type="dxa"/>
            <w:tcBorders/>
            <w:shd w:fill="CCEEFF" w:val="clear"/>
            <w:tcMar>
              <w:bottom w:w="0" w:type="dxa"/>
            </w:tcMar>
            <w:vAlign w:val="center"/>
          </w:tcPr>
          <w:p>
            <w:pPr>
              <w:pStyle w:val="TableContents"/>
              <w:bidi w:val="0"/>
              <w:spacing w:before="0" w:after="283"/>
              <w:jc w:val="right"/>
              <w:rPr/>
            </w:pPr>
            <w:r>
              <w:rPr/>
              <w:t>46,300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57" w:type="dxa"/>
            <w:tcBorders/>
            <w:shd w:fill="CCEEFF" w:val="clear"/>
            <w:tcMar>
              <w:bottom w:w="0" w:type="dxa"/>
            </w:tcMar>
            <w:vAlign w:val="center"/>
          </w:tcPr>
          <w:p>
            <w:pPr>
              <w:pStyle w:val="TableContents"/>
              <w:bidi w:val="0"/>
              <w:spacing w:before="0" w:after="283"/>
              <w:jc w:val="right"/>
              <w:rPr/>
            </w:pPr>
            <w:r>
              <w:rPr/>
              <w:t>39,773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86,073</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735" w:type="dxa"/>
            <w:tcBorders/>
            <w:tcMar>
              <w:bottom w:w="0" w:type="dxa"/>
            </w:tcMar>
            <w:vAlign w:val="center"/>
          </w:tcPr>
          <w:p>
            <w:pPr>
              <w:pStyle w:val="TableContents"/>
              <w:bidi w:val="0"/>
              <w:spacing w:before="0" w:after="283"/>
              <w:jc w:val="left"/>
              <w:rPr/>
            </w:pPr>
            <w:r>
              <w:rPr/>
              <w:t>Kurt von Emster</w:t>
            </w:r>
          </w:p>
        </w:tc>
        <w:tc>
          <w:tcPr>
            <w:tcW w:w="90" w:type="dxa"/>
            <w:tcBorders/>
            <w:tcMar>
              <w:bottom w:w="0" w:type="dxa"/>
            </w:tcMar>
            <w:vAlign w:val="center"/>
          </w:tcPr>
          <w:p>
            <w:pPr>
              <w:pStyle w:val="TableContents"/>
              <w:bidi w:val="0"/>
              <w:spacing w:before="0" w:after="283"/>
              <w:jc w:val="left"/>
              <w:rPr/>
            </w:pPr>
            <w:r>
              <w:rPr/>
              <w:t> </w:t>
            </w:r>
          </w:p>
        </w:tc>
        <w:tc>
          <w:tcPr>
            <w:tcW w:w="322" w:type="dxa"/>
            <w:tcBorders/>
            <w:tcMar>
              <w:bottom w:w="0" w:type="dxa"/>
            </w:tcMar>
            <w:vAlign w:val="center"/>
          </w:tcPr>
          <w:p>
            <w:pPr>
              <w:pStyle w:val="TableContents"/>
              <w:bidi w:val="0"/>
              <w:spacing w:before="0" w:after="283"/>
              <w:jc w:val="left"/>
              <w:rPr/>
            </w:pPr>
            <w:r>
              <w:rPr/>
              <w:t>$</w:t>
            </w:r>
          </w:p>
        </w:tc>
        <w:tc>
          <w:tcPr>
            <w:tcW w:w="1347" w:type="dxa"/>
            <w:tcBorders/>
            <w:tcMar>
              <w:bottom w:w="0" w:type="dxa"/>
            </w:tcMar>
            <w:vAlign w:val="center"/>
          </w:tcPr>
          <w:p>
            <w:pPr>
              <w:pStyle w:val="TableContents"/>
              <w:bidi w:val="0"/>
              <w:spacing w:before="0" w:after="283"/>
              <w:jc w:val="right"/>
              <w:rPr/>
            </w:pPr>
            <w:r>
              <w:rPr/>
              <w:t>66,800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2" w:type="dxa"/>
            <w:tcBorders/>
            <w:tcMar>
              <w:bottom w:w="0" w:type="dxa"/>
            </w:tcMar>
            <w:vAlign w:val="center"/>
          </w:tcPr>
          <w:p>
            <w:pPr>
              <w:pStyle w:val="TableContents"/>
              <w:bidi w:val="0"/>
              <w:spacing w:before="0" w:after="283"/>
              <w:jc w:val="left"/>
              <w:rPr/>
            </w:pPr>
            <w:r>
              <w:rPr/>
              <w:t>$</w:t>
            </w:r>
          </w:p>
        </w:tc>
        <w:tc>
          <w:tcPr>
            <w:tcW w:w="1057" w:type="dxa"/>
            <w:tcBorders/>
            <w:tcMar>
              <w:bottom w:w="0" w:type="dxa"/>
            </w:tcMar>
            <w:vAlign w:val="center"/>
          </w:tcPr>
          <w:p>
            <w:pPr>
              <w:pStyle w:val="TableContents"/>
              <w:bidi w:val="0"/>
              <w:spacing w:before="0" w:after="283"/>
              <w:jc w:val="right"/>
              <w:rPr/>
            </w:pPr>
            <w:r>
              <w:rPr/>
              <w:t>39,773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right"/>
              <w:rPr/>
            </w:pPr>
            <w:r>
              <w:rPr/>
              <w:t>—</w:t>
            </w:r>
          </w:p>
        </w:tc>
        <w:tc>
          <w:tcPr>
            <w:tcW w:w="3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106,573</w:t>
            </w:r>
          </w:p>
        </w:tc>
        <w:tc>
          <w:tcPr>
            <w:tcW w:w="135" w:type="dxa"/>
            <w:tcBorders/>
            <w:tcMar>
              <w:bottom w:w="0" w:type="dxa"/>
            </w:tcMar>
            <w:vAlign w:val="center"/>
          </w:tcPr>
          <w:p>
            <w:pPr>
              <w:pStyle w:val="TableContents"/>
              <w:bidi w:val="0"/>
              <w:spacing w:before="0" w:after="283"/>
              <w:jc w:val="left"/>
              <w:rPr/>
            </w:pPr>
            <w:r>
              <w:rPr/>
              <w:t> </w:t>
            </w:r>
          </w:p>
        </w:tc>
      </w:tr>
      <w:tr>
        <w:trPr/>
        <w:tc>
          <w:tcPr>
            <w:tcW w:w="2735" w:type="dxa"/>
            <w:tcBorders/>
            <w:shd w:fill="CCEEFF" w:val="clear"/>
            <w:tcMar>
              <w:bottom w:w="0" w:type="dxa"/>
            </w:tcMar>
            <w:vAlign w:val="center"/>
          </w:tcPr>
          <w:p>
            <w:pPr>
              <w:pStyle w:val="TableContents"/>
              <w:bidi w:val="0"/>
              <w:spacing w:before="0" w:after="283"/>
              <w:jc w:val="left"/>
              <w:rPr/>
            </w:pPr>
            <w:r>
              <w:rPr/>
              <w:t>Christian Nolet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2" w:type="dxa"/>
            <w:tcBorders/>
            <w:shd w:fill="CCEEFF" w:val="clear"/>
            <w:tcMar>
              <w:bottom w:w="0" w:type="dxa"/>
            </w:tcMar>
            <w:vAlign w:val="center"/>
          </w:tcPr>
          <w:p>
            <w:pPr>
              <w:pStyle w:val="TableContents"/>
              <w:bidi w:val="0"/>
              <w:spacing w:before="0" w:after="283"/>
              <w:jc w:val="left"/>
              <w:rPr/>
            </w:pPr>
            <w:r>
              <w:rPr/>
              <w:t>$</w:t>
            </w:r>
          </w:p>
        </w:tc>
        <w:tc>
          <w:tcPr>
            <w:tcW w:w="1347" w:type="dxa"/>
            <w:tcBorders/>
            <w:shd w:fill="CCEEFF" w:val="clear"/>
            <w:tcMar>
              <w:bottom w:w="0" w:type="dxa"/>
            </w:tcMar>
            <w:vAlign w:val="center"/>
          </w:tcPr>
          <w:p>
            <w:pPr>
              <w:pStyle w:val="TableContents"/>
              <w:bidi w:val="0"/>
              <w:spacing w:before="0" w:after="283"/>
              <w:jc w:val="right"/>
              <w:rPr/>
            </w:pPr>
            <w:r>
              <w:rPr/>
              <w:t>65,000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57" w:type="dxa"/>
            <w:tcBorders/>
            <w:shd w:fill="CCEEFF" w:val="clear"/>
            <w:tcMar>
              <w:bottom w:w="0" w:type="dxa"/>
            </w:tcMar>
            <w:vAlign w:val="center"/>
          </w:tcPr>
          <w:p>
            <w:pPr>
              <w:pStyle w:val="TableContents"/>
              <w:bidi w:val="0"/>
              <w:spacing w:before="0" w:after="283"/>
              <w:jc w:val="right"/>
              <w:rPr/>
            </w:pPr>
            <w:r>
              <w:rPr/>
              <w:t>39,773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104,773</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735" w:type="dxa"/>
            <w:tcBorders/>
            <w:tcMar>
              <w:bottom w:w="0" w:type="dxa"/>
            </w:tcMar>
            <w:vAlign w:val="center"/>
          </w:tcPr>
          <w:p>
            <w:pPr>
              <w:pStyle w:val="TableContents"/>
              <w:bidi w:val="0"/>
              <w:spacing w:before="0" w:after="283"/>
              <w:jc w:val="left"/>
              <w:rPr/>
            </w:pPr>
            <w:r>
              <w:rPr/>
              <w:t>Vishal Kapoor</w:t>
            </w:r>
          </w:p>
        </w:tc>
        <w:tc>
          <w:tcPr>
            <w:tcW w:w="90" w:type="dxa"/>
            <w:tcBorders/>
            <w:tcMar>
              <w:bottom w:w="0" w:type="dxa"/>
            </w:tcMar>
            <w:vAlign w:val="center"/>
          </w:tcPr>
          <w:p>
            <w:pPr>
              <w:pStyle w:val="TableContents"/>
              <w:bidi w:val="0"/>
              <w:spacing w:before="0" w:after="283"/>
              <w:jc w:val="left"/>
              <w:rPr/>
            </w:pPr>
            <w:r>
              <w:rPr/>
              <w:t> </w:t>
            </w:r>
          </w:p>
        </w:tc>
        <w:tc>
          <w:tcPr>
            <w:tcW w:w="322" w:type="dxa"/>
            <w:tcBorders/>
            <w:tcMar>
              <w:bottom w:w="0" w:type="dxa"/>
            </w:tcMar>
            <w:vAlign w:val="center"/>
          </w:tcPr>
          <w:p>
            <w:pPr>
              <w:pStyle w:val="TableContents"/>
              <w:bidi w:val="0"/>
              <w:spacing w:before="0" w:after="283"/>
              <w:jc w:val="left"/>
              <w:rPr/>
            </w:pPr>
            <w:r>
              <w:rPr/>
              <w:t>$</w:t>
            </w:r>
          </w:p>
        </w:tc>
        <w:tc>
          <w:tcPr>
            <w:tcW w:w="1347" w:type="dxa"/>
            <w:tcBorders/>
            <w:tcMar>
              <w:bottom w:w="0" w:type="dxa"/>
            </w:tcMar>
            <w:vAlign w:val="center"/>
          </w:tcPr>
          <w:p>
            <w:pPr>
              <w:pStyle w:val="TableContents"/>
              <w:bidi w:val="0"/>
              <w:spacing w:before="0" w:after="283"/>
              <w:jc w:val="right"/>
              <w:rPr/>
            </w:pPr>
            <w:r>
              <w:rPr/>
              <w:t>51,500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2" w:type="dxa"/>
            <w:tcBorders/>
            <w:tcMar>
              <w:bottom w:w="0" w:type="dxa"/>
            </w:tcMar>
            <w:vAlign w:val="center"/>
          </w:tcPr>
          <w:p>
            <w:pPr>
              <w:pStyle w:val="TableContents"/>
              <w:bidi w:val="0"/>
              <w:spacing w:before="0" w:after="283"/>
              <w:jc w:val="left"/>
              <w:rPr/>
            </w:pPr>
            <w:r>
              <w:rPr/>
              <w:t>$</w:t>
            </w:r>
          </w:p>
        </w:tc>
        <w:tc>
          <w:tcPr>
            <w:tcW w:w="1057" w:type="dxa"/>
            <w:tcBorders/>
            <w:tcMar>
              <w:bottom w:w="0" w:type="dxa"/>
            </w:tcMar>
            <w:vAlign w:val="center"/>
          </w:tcPr>
          <w:p>
            <w:pPr>
              <w:pStyle w:val="TableContents"/>
              <w:bidi w:val="0"/>
              <w:spacing w:before="0" w:after="283"/>
              <w:jc w:val="right"/>
              <w:rPr/>
            </w:pPr>
            <w:r>
              <w:rPr/>
              <w:t>39,773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right"/>
              <w:rPr/>
            </w:pPr>
            <w:r>
              <w:rPr/>
              <w:t>—</w:t>
            </w:r>
          </w:p>
        </w:tc>
        <w:tc>
          <w:tcPr>
            <w:tcW w:w="3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91,273</w:t>
            </w:r>
          </w:p>
        </w:tc>
        <w:tc>
          <w:tcPr>
            <w:tcW w:w="135" w:type="dxa"/>
            <w:tcBorders/>
            <w:tcMar>
              <w:bottom w:w="0" w:type="dxa"/>
            </w:tcMar>
            <w:vAlign w:val="center"/>
          </w:tcPr>
          <w:p>
            <w:pPr>
              <w:pStyle w:val="TableContents"/>
              <w:bidi w:val="0"/>
              <w:spacing w:before="0" w:after="283"/>
              <w:jc w:val="left"/>
              <w:rPr/>
            </w:pPr>
            <w:r>
              <w:rPr/>
              <w:t> </w:t>
            </w:r>
          </w:p>
        </w:tc>
      </w:tr>
      <w:tr>
        <w:trPr/>
        <w:tc>
          <w:tcPr>
            <w:tcW w:w="2735" w:type="dxa"/>
            <w:tcBorders/>
            <w:shd w:fill="CCEEFF" w:val="clear"/>
            <w:tcMar>
              <w:bottom w:w="0" w:type="dxa"/>
            </w:tcMar>
            <w:vAlign w:val="center"/>
          </w:tcPr>
          <w:p>
            <w:pPr>
              <w:pStyle w:val="TableContents"/>
              <w:bidi w:val="0"/>
              <w:spacing w:before="0" w:after="283"/>
              <w:jc w:val="left"/>
              <w:rPr/>
            </w:pPr>
            <w:r>
              <w:rPr/>
              <w:t>Scott Brun, M.D.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2" w:type="dxa"/>
            <w:tcBorders/>
            <w:shd w:fill="CCEEFF" w:val="clear"/>
            <w:tcMar>
              <w:bottom w:w="0" w:type="dxa"/>
            </w:tcMar>
            <w:vAlign w:val="center"/>
          </w:tcPr>
          <w:p>
            <w:pPr>
              <w:pStyle w:val="TableContents"/>
              <w:bidi w:val="0"/>
              <w:spacing w:before="0" w:after="283"/>
              <w:jc w:val="left"/>
              <w:rPr/>
            </w:pPr>
            <w:r>
              <w:rPr/>
              <w:t>$</w:t>
            </w:r>
          </w:p>
        </w:tc>
        <w:tc>
          <w:tcPr>
            <w:tcW w:w="1347" w:type="dxa"/>
            <w:tcBorders/>
            <w:shd w:fill="CCEEFF" w:val="clear"/>
            <w:tcMar>
              <w:bottom w:w="0" w:type="dxa"/>
            </w:tcMar>
            <w:vAlign w:val="center"/>
          </w:tcPr>
          <w:p>
            <w:pPr>
              <w:pStyle w:val="TableContents"/>
              <w:bidi w:val="0"/>
              <w:spacing w:before="0" w:after="283"/>
              <w:jc w:val="right"/>
              <w:rPr/>
            </w:pPr>
            <w:r>
              <w:rPr/>
              <w:t>56,300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57" w:type="dxa"/>
            <w:tcBorders/>
            <w:shd w:fill="CCEEFF" w:val="clear"/>
            <w:tcMar>
              <w:bottom w:w="0" w:type="dxa"/>
            </w:tcMar>
            <w:vAlign w:val="center"/>
          </w:tcPr>
          <w:p>
            <w:pPr>
              <w:pStyle w:val="TableContents"/>
              <w:bidi w:val="0"/>
              <w:spacing w:before="0" w:after="283"/>
              <w:jc w:val="right"/>
              <w:rPr/>
            </w:pPr>
            <w:r>
              <w:rPr/>
              <w:t>39,773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$6,000</w:t>
            </w:r>
          </w:p>
        </w:tc>
        <w:tc>
          <w:tcPr>
            <w:tcW w:w="335" w:type="dxa"/>
            <w:tcBorders/>
            <w:shd w:fill="CCEEFF" w:val="clear"/>
            <w:tcMar>
              <w:bottom w:w="0" w:type="dxa"/>
            </w:tcMar>
            <w:vAlign w:val="center"/>
          </w:tcPr>
          <w:p>
            <w:pPr>
              <w:pStyle w:val="TableContents"/>
              <w:bidi w:val="0"/>
              <w:spacing w:before="0" w:after="283"/>
              <w:jc w:val="left"/>
              <w:rPr/>
            </w:pPr>
            <w:r>
              <w:rPr/>
              <w:t> </w:t>
            </w:r>
            <w:r>
              <w:rPr>
                <w:position w:val="8"/>
                <w:sz w:val="19"/>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102,073</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735" w:type="dxa"/>
            <w:tcBorders/>
            <w:tcMar>
              <w:bottom w:w="0" w:type="dxa"/>
            </w:tcMar>
            <w:vAlign w:val="center"/>
          </w:tcPr>
          <w:p>
            <w:pPr>
              <w:pStyle w:val="TableContents"/>
              <w:bidi w:val="0"/>
              <w:spacing w:before="0" w:after="283"/>
              <w:jc w:val="left"/>
              <w:rPr/>
            </w:pPr>
            <w:r>
              <w:rPr/>
              <w:t>Tom Wiggans</w:t>
            </w:r>
          </w:p>
        </w:tc>
        <w:tc>
          <w:tcPr>
            <w:tcW w:w="90" w:type="dxa"/>
            <w:tcBorders/>
            <w:tcMar>
              <w:bottom w:w="0" w:type="dxa"/>
            </w:tcMar>
            <w:vAlign w:val="center"/>
          </w:tcPr>
          <w:p>
            <w:pPr>
              <w:pStyle w:val="TableContents"/>
              <w:bidi w:val="0"/>
              <w:spacing w:before="0" w:after="283"/>
              <w:jc w:val="left"/>
              <w:rPr/>
            </w:pPr>
            <w:r>
              <w:rPr/>
              <w:t> </w:t>
            </w:r>
          </w:p>
        </w:tc>
        <w:tc>
          <w:tcPr>
            <w:tcW w:w="322" w:type="dxa"/>
            <w:tcBorders/>
            <w:tcMar>
              <w:bottom w:w="0" w:type="dxa"/>
            </w:tcMar>
            <w:vAlign w:val="center"/>
          </w:tcPr>
          <w:p>
            <w:pPr>
              <w:pStyle w:val="TableContents"/>
              <w:bidi w:val="0"/>
              <w:spacing w:before="0" w:after="283"/>
              <w:jc w:val="left"/>
              <w:rPr/>
            </w:pPr>
            <w:r>
              <w:rPr/>
              <w:t>$</w:t>
            </w:r>
          </w:p>
        </w:tc>
        <w:tc>
          <w:tcPr>
            <w:tcW w:w="1347" w:type="dxa"/>
            <w:tcBorders/>
            <w:tcMar>
              <w:bottom w:w="0" w:type="dxa"/>
            </w:tcMar>
            <w:vAlign w:val="center"/>
          </w:tcPr>
          <w:p>
            <w:pPr>
              <w:pStyle w:val="TableContents"/>
              <w:bidi w:val="0"/>
              <w:spacing w:before="0" w:after="283"/>
              <w:jc w:val="right"/>
              <w:rPr/>
            </w:pPr>
            <w:r>
              <w:rPr/>
              <w:t>70,000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2" w:type="dxa"/>
            <w:tcBorders/>
            <w:tcMar>
              <w:bottom w:w="0" w:type="dxa"/>
            </w:tcMar>
            <w:vAlign w:val="center"/>
          </w:tcPr>
          <w:p>
            <w:pPr>
              <w:pStyle w:val="TableContents"/>
              <w:bidi w:val="0"/>
              <w:spacing w:before="0" w:after="283"/>
              <w:jc w:val="left"/>
              <w:rPr/>
            </w:pPr>
            <w:r>
              <w:rPr/>
              <w:t>$</w:t>
            </w:r>
          </w:p>
        </w:tc>
        <w:tc>
          <w:tcPr>
            <w:tcW w:w="1057" w:type="dxa"/>
            <w:tcBorders/>
            <w:tcMar>
              <w:bottom w:w="0" w:type="dxa"/>
            </w:tcMar>
            <w:vAlign w:val="center"/>
          </w:tcPr>
          <w:p>
            <w:pPr>
              <w:pStyle w:val="TableContents"/>
              <w:bidi w:val="0"/>
              <w:spacing w:before="0" w:after="283"/>
              <w:jc w:val="right"/>
              <w:rPr/>
            </w:pPr>
            <w:r>
              <w:rPr/>
              <w:t>39,773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right"/>
              <w:rPr/>
            </w:pPr>
            <w:r>
              <w:rPr/>
              <w:t>—</w:t>
            </w:r>
          </w:p>
        </w:tc>
        <w:tc>
          <w:tcPr>
            <w:tcW w:w="3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109,773</w:t>
            </w:r>
          </w:p>
        </w:tc>
        <w:tc>
          <w:tcPr>
            <w:tcW w:w="135" w:type="dxa"/>
            <w:tcBorders/>
            <w:tcMar>
              <w:bottom w:w="0" w:type="dxa"/>
            </w:tcMar>
            <w:vAlign w:val="center"/>
          </w:tcPr>
          <w:p>
            <w:pPr>
              <w:pStyle w:val="TableContents"/>
              <w:bidi w:val="0"/>
              <w:spacing w:before="0" w:after="283"/>
              <w:jc w:val="left"/>
              <w:rPr/>
            </w:pPr>
            <w:r>
              <w:rPr/>
              <w:t> </w:t>
            </w:r>
          </w:p>
        </w:tc>
      </w:tr>
      <w:tr>
        <w:trPr/>
        <w:tc>
          <w:tcPr>
            <w:tcW w:w="2735" w:type="dxa"/>
            <w:tcBorders/>
            <w:shd w:fill="CCEEFF" w:val="clear"/>
            <w:tcMar>
              <w:bottom w:w="0" w:type="dxa"/>
            </w:tcMar>
            <w:vAlign w:val="center"/>
          </w:tcPr>
          <w:p>
            <w:pPr>
              <w:pStyle w:val="TableContents"/>
              <w:bidi w:val="0"/>
              <w:spacing w:before="0" w:after="283"/>
              <w:jc w:val="left"/>
              <w:rPr/>
            </w:pPr>
            <w:r>
              <w:rPr/>
              <w:t>Svetlana Lucas, Ph.D.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2" w:type="dxa"/>
            <w:tcBorders/>
            <w:shd w:fill="CCEEFF" w:val="clear"/>
            <w:tcMar>
              <w:bottom w:w="0" w:type="dxa"/>
            </w:tcMar>
            <w:vAlign w:val="center"/>
          </w:tcPr>
          <w:p>
            <w:pPr>
              <w:pStyle w:val="TableContents"/>
              <w:bidi w:val="0"/>
              <w:spacing w:before="0" w:after="283"/>
              <w:jc w:val="left"/>
              <w:rPr/>
            </w:pPr>
            <w:r>
              <w:rPr/>
              <w:t>$</w:t>
            </w:r>
          </w:p>
        </w:tc>
        <w:tc>
          <w:tcPr>
            <w:tcW w:w="1347" w:type="dxa"/>
            <w:tcBorders/>
            <w:shd w:fill="CCEEFF" w:val="clear"/>
            <w:tcMar>
              <w:bottom w:w="0" w:type="dxa"/>
            </w:tcMar>
            <w:vAlign w:val="center"/>
          </w:tcPr>
          <w:p>
            <w:pPr>
              <w:pStyle w:val="TableContents"/>
              <w:bidi w:val="0"/>
              <w:spacing w:before="0" w:after="283"/>
              <w:jc w:val="right"/>
              <w:rPr/>
            </w:pPr>
            <w:r>
              <w:rPr/>
              <w:t>40,000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57" w:type="dxa"/>
            <w:tcBorders/>
            <w:shd w:fill="CCEEFF" w:val="clear"/>
            <w:tcMar>
              <w:bottom w:w="0" w:type="dxa"/>
            </w:tcMar>
            <w:vAlign w:val="center"/>
          </w:tcPr>
          <w:p>
            <w:pPr>
              <w:pStyle w:val="TableContents"/>
              <w:bidi w:val="0"/>
              <w:spacing w:before="0" w:after="283"/>
              <w:jc w:val="right"/>
              <w:rPr/>
            </w:pPr>
            <w:r>
              <w:rPr/>
              <w:t>39,773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79,773</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67"/>
        <w:gridCol w:w="255"/>
        <w:gridCol w:w="9883"/>
      </w:tblGrid>
      <w:tr>
        <w:trPr/>
        <w:tc>
          <w:tcPr>
            <w:tcW w:w="6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(1)</w:t>
            </w:r>
          </w:p>
        </w:tc>
        <w:tc>
          <w:tcPr>
            <w:tcW w:w="9883" w:type="dxa"/>
            <w:tcBorders/>
            <w:vAlign w:val="center"/>
          </w:tcPr>
          <w:p>
            <w:pPr>
              <w:pStyle w:val="TableContents"/>
              <w:bidi w:val="0"/>
              <w:spacing w:before="0" w:after="283"/>
              <w:jc w:val="both"/>
              <w:rPr/>
            </w:pPr>
            <w:r>
              <w:rPr/>
              <w:t>Amounts reported represent the aggregate grant date fair value of the stock options granted to the non-employee director under the 2024 Plan, computed in accordance with FASB ASC Topic 718. The assumptions used in calculating the grant date fair value of the stock options reported in this column are set forth in Note 10 to our consolidated financial statements included in Item 8 of this Annual Report on Form 10-K. This amount does not reflect the actual economic value that may be realized by the non-employee director, which will depend on factors including the continued service of the non-employee director and the future value of our stock.</w:t>
            </w:r>
          </w:p>
        </w:tc>
      </w:tr>
    </w:tbl>
    <w:tbl>
      <w:tblPr>
        <w:tblW w:w="5000" w:type="pct"/>
        <w:jc w:val="left"/>
        <w:tblInd w:w="0" w:type="dxa"/>
        <w:tblLayout w:type="fixed"/>
        <w:tblCellMar>
          <w:top w:w="0" w:type="dxa"/>
          <w:left w:w="0" w:type="dxa"/>
          <w:bottom w:w="0" w:type="dxa"/>
          <w:right w:w="0" w:type="dxa"/>
        </w:tblCellMar>
      </w:tblPr>
      <w:tblGrid>
        <w:gridCol w:w="67"/>
        <w:gridCol w:w="292"/>
        <w:gridCol w:w="9846"/>
      </w:tblGrid>
      <w:tr>
        <w:trPr/>
        <w:tc>
          <w:tcPr>
            <w:tcW w:w="6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(2)</w:t>
            </w:r>
          </w:p>
        </w:tc>
        <w:tc>
          <w:tcPr>
            <w:tcW w:w="9846" w:type="dxa"/>
            <w:tcBorders/>
            <w:vAlign w:val="center"/>
          </w:tcPr>
          <w:p>
            <w:pPr>
              <w:pStyle w:val="TableContents"/>
              <w:bidi w:val="0"/>
              <w:spacing w:before="0" w:after="283"/>
              <w:jc w:val="both"/>
              <w:rPr/>
            </w:pPr>
            <w:r>
              <w:rPr/>
              <w:t>The table below shows the aggregate number of option awards (vested and unvested) held by each of our non-employee directors as of December 31, 2025:</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jc w:val="left"/>
        <w:rPr>
          <w:caps w:val="false"/>
          <w:smallCaps w:val="false"/>
        </w:rPr>
      </w:pPr>
      <w:r>
        <w:rPr>
          <w:caps w:val="false"/>
          <w:smallCaps w:val="false"/>
        </w:rPr>
        <w:t> </w:t>
      </w:r>
    </w:p>
    <w:tbl>
      <w:tblPr>
        <w:tblW w:w="7104" w:type="dxa"/>
        <w:jc w:val="left"/>
        <w:tblInd w:w="0" w:type="dxa"/>
        <w:tblLayout w:type="fixed"/>
        <w:tblCellMar>
          <w:top w:w="0" w:type="dxa"/>
          <w:left w:w="0" w:type="dxa"/>
          <w:bottom w:w="28" w:type="dxa"/>
          <w:right w:w="0" w:type="dxa"/>
        </w:tblCellMar>
      </w:tblPr>
      <w:tblGrid>
        <w:gridCol w:w="2735"/>
        <w:gridCol w:w="90"/>
        <w:gridCol w:w="464"/>
        <w:gridCol w:w="3680"/>
        <w:gridCol w:w="135"/>
      </w:tblGrid>
      <w:tr>
        <w:trPr/>
        <w:tc>
          <w:tcPr>
            <w:tcW w:w="2735" w:type="dxa"/>
            <w:tcBorders>
              <w:bottom w:val="single" w:sz="12" w:space="0" w:color="000000"/>
            </w:tcBorders>
            <w:vAlign w:val="center"/>
          </w:tcPr>
          <w:p>
            <w:pPr>
              <w:pStyle w:val="TableContents"/>
              <w:bidi w:val="0"/>
              <w:spacing w:before="0" w:after="283"/>
              <w:jc w:val="left"/>
              <w:rPr>
                <w:b/>
              </w:rPr>
            </w:pPr>
            <w:r>
              <w:rPr>
                <w:b/>
              </w:rPr>
              <w:t>Name</w:t>
            </w:r>
          </w:p>
        </w:tc>
        <w:tc>
          <w:tcPr>
            <w:tcW w:w="90" w:type="dxa"/>
            <w:tcBorders/>
            <w:tcMar>
              <w:bottom w:w="0" w:type="dxa"/>
            </w:tcMar>
            <w:vAlign w:val="center"/>
          </w:tcPr>
          <w:p>
            <w:pPr>
              <w:pStyle w:val="TableContents"/>
              <w:bidi w:val="0"/>
              <w:spacing w:before="0" w:after="283"/>
              <w:jc w:val="left"/>
              <w:rPr/>
            </w:pPr>
            <w:r>
              <w:rPr/>
              <w:t> </w:t>
            </w:r>
          </w:p>
        </w:tc>
        <w:tc>
          <w:tcPr>
            <w:tcW w:w="4144" w:type="dxa"/>
            <w:gridSpan w:val="2"/>
            <w:tcBorders>
              <w:bottom w:val="single" w:sz="12" w:space="0" w:color="000000"/>
            </w:tcBorders>
            <w:vAlign w:val="center"/>
          </w:tcPr>
          <w:p>
            <w:pPr>
              <w:pStyle w:val="TableContents"/>
              <w:bidi w:val="0"/>
              <w:spacing w:before="0" w:after="283"/>
              <w:jc w:val="center"/>
              <w:rPr>
                <w:b/>
              </w:rPr>
            </w:pPr>
            <w:r>
              <w:rPr>
                <w:b/>
              </w:rPr>
              <w:t>Number of Shares Underlying</w:t>
              <w:br/>
              <w:t>Outstanding Options as of December 31,</w:t>
              <w:br/>
              <w:t>2025</w:t>
            </w:r>
          </w:p>
        </w:tc>
        <w:tc>
          <w:tcPr>
            <w:tcW w:w="135" w:type="dxa"/>
            <w:tcBorders/>
            <w:tcMar>
              <w:bottom w:w="0" w:type="dxa"/>
            </w:tcMar>
            <w:vAlign w:val="center"/>
          </w:tcPr>
          <w:p>
            <w:pPr>
              <w:pStyle w:val="TableContents"/>
              <w:bidi w:val="0"/>
              <w:spacing w:before="0" w:after="283"/>
              <w:ind w:left="0" w:right="0" w:hanging="200"/>
              <w:jc w:val="left"/>
              <w:rPr/>
            </w:pPr>
            <w:r>
              <w:rPr/>
              <w:t> </w:t>
            </w:r>
          </w:p>
        </w:tc>
      </w:tr>
      <w:tr>
        <w:trPr/>
        <w:tc>
          <w:tcPr>
            <w:tcW w:w="2735" w:type="dxa"/>
            <w:tcBorders/>
            <w:shd w:fill="CCEEFF" w:val="clear"/>
            <w:tcMar>
              <w:bottom w:w="0" w:type="dxa"/>
            </w:tcMar>
            <w:vAlign w:val="center"/>
          </w:tcPr>
          <w:p>
            <w:pPr>
              <w:pStyle w:val="TableContents"/>
              <w:bidi w:val="0"/>
              <w:spacing w:before="0" w:after="283"/>
              <w:jc w:val="left"/>
              <w:rPr/>
            </w:pPr>
            <w:r>
              <w:rPr/>
              <w:t>Judith Shizuru, M.D., Ph.D.</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4" w:type="dxa"/>
            <w:tcBorders/>
            <w:shd w:fill="CCEEFF" w:val="clear"/>
            <w:tcMar>
              <w:bottom w:w="0" w:type="dxa"/>
            </w:tcMar>
            <w:vAlign w:val="center"/>
          </w:tcPr>
          <w:p>
            <w:pPr>
              <w:pStyle w:val="TableContents"/>
              <w:bidi w:val="0"/>
              <w:spacing w:before="0" w:after="283"/>
              <w:jc w:val="left"/>
              <w:rPr/>
            </w:pPr>
            <w:r>
              <w:rPr/>
              <w:t> </w:t>
            </w:r>
          </w:p>
        </w:tc>
        <w:tc>
          <w:tcPr>
            <w:tcW w:w="3680" w:type="dxa"/>
            <w:tcBorders/>
            <w:shd w:fill="CCEEFF" w:val="clear"/>
            <w:tcMar>
              <w:bottom w:w="0" w:type="dxa"/>
            </w:tcMar>
            <w:vAlign w:val="center"/>
          </w:tcPr>
          <w:p>
            <w:pPr>
              <w:pStyle w:val="TableContents"/>
              <w:bidi w:val="0"/>
              <w:spacing w:before="0" w:after="283"/>
              <w:jc w:val="right"/>
              <w:rPr/>
            </w:pPr>
            <w:r>
              <w:rPr/>
              <w:t>42,120</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735" w:type="dxa"/>
            <w:tcBorders/>
            <w:tcMar>
              <w:bottom w:w="0" w:type="dxa"/>
            </w:tcMar>
            <w:vAlign w:val="center"/>
          </w:tcPr>
          <w:p>
            <w:pPr>
              <w:pStyle w:val="TableContents"/>
              <w:bidi w:val="0"/>
              <w:spacing w:before="0" w:after="283"/>
              <w:jc w:val="left"/>
              <w:rPr/>
            </w:pPr>
            <w:r>
              <w:rPr/>
              <w:t>Kurt von Emster</w:t>
            </w:r>
          </w:p>
        </w:tc>
        <w:tc>
          <w:tcPr>
            <w:tcW w:w="90" w:type="dxa"/>
            <w:tcBorders/>
            <w:tcMar>
              <w:bottom w:w="0" w:type="dxa"/>
            </w:tcMar>
            <w:vAlign w:val="center"/>
          </w:tcPr>
          <w:p>
            <w:pPr>
              <w:pStyle w:val="TableContents"/>
              <w:bidi w:val="0"/>
              <w:spacing w:before="0" w:after="283"/>
              <w:jc w:val="left"/>
              <w:rPr/>
            </w:pPr>
            <w:r>
              <w:rPr/>
              <w:t> </w:t>
            </w:r>
          </w:p>
        </w:tc>
        <w:tc>
          <w:tcPr>
            <w:tcW w:w="464" w:type="dxa"/>
            <w:tcBorders/>
            <w:tcMar>
              <w:bottom w:w="0" w:type="dxa"/>
            </w:tcMar>
            <w:vAlign w:val="center"/>
          </w:tcPr>
          <w:p>
            <w:pPr>
              <w:pStyle w:val="TableContents"/>
              <w:bidi w:val="0"/>
              <w:spacing w:before="0" w:after="283"/>
              <w:jc w:val="left"/>
              <w:rPr/>
            </w:pPr>
            <w:r>
              <w:rPr/>
              <w:t> </w:t>
            </w:r>
          </w:p>
        </w:tc>
        <w:tc>
          <w:tcPr>
            <w:tcW w:w="3680" w:type="dxa"/>
            <w:tcBorders/>
            <w:tcMar>
              <w:bottom w:w="0" w:type="dxa"/>
            </w:tcMar>
            <w:vAlign w:val="center"/>
          </w:tcPr>
          <w:p>
            <w:pPr>
              <w:pStyle w:val="TableContents"/>
              <w:bidi w:val="0"/>
              <w:spacing w:before="0" w:after="283"/>
              <w:jc w:val="right"/>
              <w:rPr/>
            </w:pPr>
            <w:r>
              <w:rPr/>
              <w:t>27,504</w:t>
            </w:r>
          </w:p>
        </w:tc>
        <w:tc>
          <w:tcPr>
            <w:tcW w:w="135" w:type="dxa"/>
            <w:tcBorders/>
            <w:tcMar>
              <w:bottom w:w="0" w:type="dxa"/>
            </w:tcMar>
            <w:vAlign w:val="center"/>
          </w:tcPr>
          <w:p>
            <w:pPr>
              <w:pStyle w:val="TableContents"/>
              <w:bidi w:val="0"/>
              <w:spacing w:before="0" w:after="283"/>
              <w:ind w:left="0" w:right="0" w:hanging="200"/>
              <w:jc w:val="left"/>
              <w:rPr/>
            </w:pPr>
            <w:r>
              <w:rPr/>
              <w:t> </w:t>
            </w:r>
          </w:p>
        </w:tc>
      </w:tr>
      <w:tr>
        <w:trPr/>
        <w:tc>
          <w:tcPr>
            <w:tcW w:w="2735" w:type="dxa"/>
            <w:tcBorders/>
            <w:shd w:fill="CCEEFF" w:val="clear"/>
            <w:tcMar>
              <w:bottom w:w="0" w:type="dxa"/>
            </w:tcMar>
            <w:vAlign w:val="center"/>
          </w:tcPr>
          <w:p>
            <w:pPr>
              <w:pStyle w:val="TableContents"/>
              <w:bidi w:val="0"/>
              <w:spacing w:before="0" w:after="283"/>
              <w:jc w:val="left"/>
              <w:rPr/>
            </w:pPr>
            <w:r>
              <w:rPr/>
              <w:t>Christian Nolet</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4" w:type="dxa"/>
            <w:tcBorders/>
            <w:shd w:fill="CCEEFF" w:val="clear"/>
            <w:tcMar>
              <w:bottom w:w="0" w:type="dxa"/>
            </w:tcMar>
            <w:vAlign w:val="center"/>
          </w:tcPr>
          <w:p>
            <w:pPr>
              <w:pStyle w:val="TableContents"/>
              <w:bidi w:val="0"/>
              <w:spacing w:before="0" w:after="283"/>
              <w:jc w:val="left"/>
              <w:rPr/>
            </w:pPr>
            <w:r>
              <w:rPr/>
              <w:t> </w:t>
            </w:r>
          </w:p>
        </w:tc>
        <w:tc>
          <w:tcPr>
            <w:tcW w:w="3680" w:type="dxa"/>
            <w:tcBorders/>
            <w:shd w:fill="CCEEFF" w:val="clear"/>
            <w:tcMar>
              <w:bottom w:w="0" w:type="dxa"/>
            </w:tcMar>
            <w:vAlign w:val="center"/>
          </w:tcPr>
          <w:p>
            <w:pPr>
              <w:pStyle w:val="TableContents"/>
              <w:bidi w:val="0"/>
              <w:spacing w:before="0" w:after="283"/>
              <w:jc w:val="right"/>
              <w:rPr/>
            </w:pPr>
            <w:r>
              <w:rPr/>
              <w:t>27,504</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735" w:type="dxa"/>
            <w:tcBorders/>
            <w:tcMar>
              <w:bottom w:w="0" w:type="dxa"/>
            </w:tcMar>
            <w:vAlign w:val="center"/>
          </w:tcPr>
          <w:p>
            <w:pPr>
              <w:pStyle w:val="TableContents"/>
              <w:bidi w:val="0"/>
              <w:spacing w:before="0" w:after="283"/>
              <w:jc w:val="left"/>
              <w:rPr/>
            </w:pPr>
            <w:r>
              <w:rPr/>
              <w:t>Scott Brun, M.D.</w:t>
            </w:r>
          </w:p>
        </w:tc>
        <w:tc>
          <w:tcPr>
            <w:tcW w:w="90" w:type="dxa"/>
            <w:tcBorders/>
            <w:tcMar>
              <w:bottom w:w="0" w:type="dxa"/>
            </w:tcMar>
            <w:vAlign w:val="center"/>
          </w:tcPr>
          <w:p>
            <w:pPr>
              <w:pStyle w:val="TableContents"/>
              <w:bidi w:val="0"/>
              <w:spacing w:before="0" w:after="283"/>
              <w:jc w:val="left"/>
              <w:rPr/>
            </w:pPr>
            <w:r>
              <w:rPr/>
              <w:t> </w:t>
            </w:r>
          </w:p>
        </w:tc>
        <w:tc>
          <w:tcPr>
            <w:tcW w:w="464" w:type="dxa"/>
            <w:tcBorders/>
            <w:tcMar>
              <w:bottom w:w="0" w:type="dxa"/>
            </w:tcMar>
            <w:vAlign w:val="center"/>
          </w:tcPr>
          <w:p>
            <w:pPr>
              <w:pStyle w:val="TableContents"/>
              <w:bidi w:val="0"/>
              <w:spacing w:before="0" w:after="283"/>
              <w:jc w:val="left"/>
              <w:rPr/>
            </w:pPr>
            <w:r>
              <w:rPr/>
              <w:t> </w:t>
            </w:r>
          </w:p>
        </w:tc>
        <w:tc>
          <w:tcPr>
            <w:tcW w:w="3680" w:type="dxa"/>
            <w:tcBorders/>
            <w:tcMar>
              <w:bottom w:w="0" w:type="dxa"/>
            </w:tcMar>
            <w:vAlign w:val="center"/>
          </w:tcPr>
          <w:p>
            <w:pPr>
              <w:pStyle w:val="TableContents"/>
              <w:bidi w:val="0"/>
              <w:spacing w:before="0" w:after="283"/>
              <w:jc w:val="right"/>
              <w:rPr/>
            </w:pPr>
            <w:r>
              <w:rPr/>
              <w:t>24,400</w:t>
            </w:r>
          </w:p>
        </w:tc>
        <w:tc>
          <w:tcPr>
            <w:tcW w:w="135" w:type="dxa"/>
            <w:tcBorders/>
            <w:tcMar>
              <w:bottom w:w="0" w:type="dxa"/>
            </w:tcMar>
            <w:vAlign w:val="center"/>
          </w:tcPr>
          <w:p>
            <w:pPr>
              <w:pStyle w:val="TableContents"/>
              <w:bidi w:val="0"/>
              <w:spacing w:before="0" w:after="283"/>
              <w:ind w:left="0" w:right="0" w:hanging="200"/>
              <w:jc w:val="left"/>
              <w:rPr/>
            </w:pPr>
            <w:r>
              <w:rPr/>
              <w:t> </w:t>
            </w:r>
          </w:p>
        </w:tc>
      </w:tr>
      <w:tr>
        <w:trPr/>
        <w:tc>
          <w:tcPr>
            <w:tcW w:w="2735" w:type="dxa"/>
            <w:tcBorders/>
            <w:shd w:fill="CCEEFF" w:val="clear"/>
            <w:tcMar>
              <w:bottom w:w="0" w:type="dxa"/>
            </w:tcMar>
            <w:vAlign w:val="center"/>
          </w:tcPr>
          <w:p>
            <w:pPr>
              <w:pStyle w:val="TableContents"/>
              <w:bidi w:val="0"/>
              <w:spacing w:before="0" w:after="283"/>
              <w:jc w:val="left"/>
              <w:rPr/>
            </w:pPr>
            <w:r>
              <w:rPr/>
              <w:t>Tom Wiggans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4" w:type="dxa"/>
            <w:tcBorders/>
            <w:shd w:fill="CCEEFF" w:val="clear"/>
            <w:tcMar>
              <w:bottom w:w="0" w:type="dxa"/>
            </w:tcMar>
            <w:vAlign w:val="center"/>
          </w:tcPr>
          <w:p>
            <w:pPr>
              <w:pStyle w:val="TableContents"/>
              <w:bidi w:val="0"/>
              <w:spacing w:before="0" w:after="283"/>
              <w:jc w:val="left"/>
              <w:rPr/>
            </w:pPr>
            <w:r>
              <w:rPr/>
              <w:t> </w:t>
            </w:r>
          </w:p>
        </w:tc>
        <w:tc>
          <w:tcPr>
            <w:tcW w:w="3680" w:type="dxa"/>
            <w:tcBorders/>
            <w:shd w:fill="CCEEFF" w:val="clear"/>
            <w:tcMar>
              <w:bottom w:w="0" w:type="dxa"/>
            </w:tcMar>
            <w:vAlign w:val="center"/>
          </w:tcPr>
          <w:p>
            <w:pPr>
              <w:pStyle w:val="TableContents"/>
              <w:bidi w:val="0"/>
              <w:spacing w:before="0" w:after="283"/>
              <w:jc w:val="right"/>
              <w:rPr/>
            </w:pPr>
            <w:r>
              <w:rPr/>
              <w:t>26,000</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735" w:type="dxa"/>
            <w:tcBorders/>
            <w:tcMar>
              <w:bottom w:w="0" w:type="dxa"/>
            </w:tcMar>
            <w:vAlign w:val="center"/>
          </w:tcPr>
          <w:p>
            <w:pPr>
              <w:pStyle w:val="TableContents"/>
              <w:bidi w:val="0"/>
              <w:spacing w:before="0" w:after="283"/>
              <w:jc w:val="left"/>
              <w:rPr/>
            </w:pPr>
            <w:r>
              <w:rPr/>
              <w:t>Vishal Kapoor</w:t>
            </w:r>
          </w:p>
        </w:tc>
        <w:tc>
          <w:tcPr>
            <w:tcW w:w="90" w:type="dxa"/>
            <w:tcBorders/>
            <w:tcMar>
              <w:bottom w:w="0" w:type="dxa"/>
            </w:tcMar>
            <w:vAlign w:val="center"/>
          </w:tcPr>
          <w:p>
            <w:pPr>
              <w:pStyle w:val="TableContents"/>
              <w:bidi w:val="0"/>
              <w:spacing w:before="0" w:after="283"/>
              <w:jc w:val="left"/>
              <w:rPr/>
            </w:pPr>
            <w:r>
              <w:rPr/>
              <w:t> </w:t>
            </w:r>
          </w:p>
        </w:tc>
        <w:tc>
          <w:tcPr>
            <w:tcW w:w="464" w:type="dxa"/>
            <w:tcBorders/>
            <w:tcMar>
              <w:bottom w:w="0" w:type="dxa"/>
            </w:tcMar>
            <w:vAlign w:val="center"/>
          </w:tcPr>
          <w:p>
            <w:pPr>
              <w:pStyle w:val="TableContents"/>
              <w:bidi w:val="0"/>
              <w:spacing w:before="0" w:after="283"/>
              <w:jc w:val="left"/>
              <w:rPr/>
            </w:pPr>
            <w:r>
              <w:rPr/>
              <w:t> </w:t>
            </w:r>
          </w:p>
        </w:tc>
        <w:tc>
          <w:tcPr>
            <w:tcW w:w="3680" w:type="dxa"/>
            <w:tcBorders/>
            <w:tcMar>
              <w:bottom w:w="0" w:type="dxa"/>
            </w:tcMar>
            <w:vAlign w:val="center"/>
          </w:tcPr>
          <w:p>
            <w:pPr>
              <w:pStyle w:val="TableContents"/>
              <w:bidi w:val="0"/>
              <w:spacing w:before="0" w:after="283"/>
              <w:jc w:val="right"/>
              <w:rPr/>
            </w:pPr>
            <w:r>
              <w:rPr/>
              <w:t>30,638</w:t>
            </w:r>
          </w:p>
        </w:tc>
        <w:tc>
          <w:tcPr>
            <w:tcW w:w="135" w:type="dxa"/>
            <w:tcBorders/>
            <w:tcMar>
              <w:bottom w:w="0" w:type="dxa"/>
            </w:tcMar>
            <w:vAlign w:val="center"/>
          </w:tcPr>
          <w:p>
            <w:pPr>
              <w:pStyle w:val="TableContents"/>
              <w:bidi w:val="0"/>
              <w:spacing w:before="0" w:after="283"/>
              <w:ind w:left="0" w:right="0" w:hanging="200"/>
              <w:jc w:val="left"/>
              <w:rPr/>
            </w:pPr>
            <w:r>
              <w:rPr/>
              <w:t> </w:t>
            </w:r>
          </w:p>
        </w:tc>
      </w:tr>
      <w:tr>
        <w:trPr/>
        <w:tc>
          <w:tcPr>
            <w:tcW w:w="2735" w:type="dxa"/>
            <w:tcBorders/>
            <w:shd w:fill="CCEEFF" w:val="clear"/>
            <w:tcMar>
              <w:bottom w:w="0" w:type="dxa"/>
            </w:tcMar>
            <w:vAlign w:val="center"/>
          </w:tcPr>
          <w:p>
            <w:pPr>
              <w:pStyle w:val="TableContents"/>
              <w:bidi w:val="0"/>
              <w:spacing w:before="0" w:after="283"/>
              <w:jc w:val="left"/>
              <w:rPr/>
            </w:pPr>
            <w:r>
              <w:rPr/>
              <w:t>Svetlana Lucas, Ph.D.</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4" w:type="dxa"/>
            <w:tcBorders/>
            <w:shd w:fill="CCEEFF" w:val="clear"/>
            <w:tcMar>
              <w:bottom w:w="0" w:type="dxa"/>
            </w:tcMar>
            <w:vAlign w:val="center"/>
          </w:tcPr>
          <w:p>
            <w:pPr>
              <w:pStyle w:val="TableContents"/>
              <w:bidi w:val="0"/>
              <w:spacing w:before="0" w:after="283"/>
              <w:jc w:val="left"/>
              <w:rPr/>
            </w:pPr>
            <w:r>
              <w:rPr/>
              <w:t> </w:t>
            </w:r>
          </w:p>
        </w:tc>
        <w:tc>
          <w:tcPr>
            <w:tcW w:w="3680" w:type="dxa"/>
            <w:tcBorders/>
            <w:shd w:fill="CCEEFF" w:val="clear"/>
            <w:tcMar>
              <w:bottom w:w="0" w:type="dxa"/>
            </w:tcMar>
            <w:vAlign w:val="center"/>
          </w:tcPr>
          <w:p>
            <w:pPr>
              <w:pStyle w:val="TableContents"/>
              <w:bidi w:val="0"/>
              <w:spacing w:before="0" w:after="283"/>
              <w:jc w:val="right"/>
              <w:rPr/>
            </w:pPr>
            <w:r>
              <w:rPr/>
              <w:t>22,500</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86"/>
        <w:gridCol w:w="9852"/>
      </w:tblGrid>
      <w:tr>
        <w:trPr/>
        <w:tc>
          <w:tcPr>
            <w:tcW w:w="6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(3)</w:t>
            </w:r>
          </w:p>
        </w:tc>
        <w:tc>
          <w:tcPr>
            <w:tcW w:w="9852" w:type="dxa"/>
            <w:tcBorders/>
            <w:vAlign w:val="center"/>
          </w:tcPr>
          <w:p>
            <w:pPr>
              <w:pStyle w:val="TableContents"/>
              <w:bidi w:val="0"/>
              <w:spacing w:before="0" w:after="283"/>
              <w:jc w:val="both"/>
              <w:rPr/>
            </w:pPr>
            <w:r>
              <w:rPr/>
              <w:t>Consists of fees earned by Dr. Brun for non-employee consulting services provided to us related to clinical, chemistry, manufacturing and controls and other scientific matters.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adopted an insider trading policy (the “Insider Trading Policy”), which provides guidelines to our employees, directors, officers and consultants with respect to transactions in our securities, including the purchase, sale and/or other disposition of our securities. We adopted the Insider Trading Policy and the procedures set forth therein to help avoid inadvertent instances of improper insider trading. We believe the Insider Trading Policy is reasonably designed to promote compliance with insider trading laws, rules and regulations and listing standards applicable to Jasper. In addition, with regard to any trading in our own securities, it is our policy to comply with the federal securities laws and the applicable exchange listing requirements.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Prohibition on Hedging and Pledging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Insider Trading Policy prohibits any director, employee (including our executive officers) or consultant to our Company from, among other things, engaging in short sales, transactions in put or call options, hedging transactions, margin accounts or other inherently speculative transactions with respect to our securities at any time. Our directors, employees (including our executive officers) and consultants are also not permitted to pledge our securities as collateral for a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October 1, 2023, our Board adopted a restated compensation recovery (“clawback”) policy pursuant to the listing standards approved by The Nasdaq Stock Market LLC implementing Rule 10D-1 under the Exchange Act (“Rule 10D-1”). The clawback policy is administered by our Compensation Committee and applies to our current and former executive officers as defined in Rule 10D-1 (each, an “Affected Officer”). Under the clawback policy, if we are required to prepare an accounting restatement to correct our material noncompliance with any financial reporting requirement under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(collectively, a “Restatement”), we are obligated to recover erroneously awarded incentive-based compensation received from us by Affected Officers. Incentive-based compensation includes any compensation that is granted, earned or vested based in whole or in part on the attainment of a financial reporting measure. Erroneously awarded incentive-based compensation is the amount of incentive-based compensation received that exceeds the amount of incentive-based compensation that otherwise would have been received had it been determined based on an applicable 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Award Timing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Item 402(x) of Regulation S-K under the Securities Act, we are providing information regarding our procedures related to the grant of certain equity awards close in time to the release of material non-public information (“MNPI”). Although we do not have a formal policy, program or plan that requires us to award equity or equity-based compensation on specific dates, we generally issue equity awards to our executive officers annually in the first quarter, and such awards are approved by our Compensation Committee during the first quarter. Additionally, our Insider Trading Policy prohibits directors, officers and employees from trading in our common stock while in possession of or on the basis of MNPI about us. We have not timed, and do not plan to time, the disclosure of MNPI for the purpose of affecting the value of executive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December 31, 2025, no options were granted to our named executive officers within four business days prior to, or one business day following, the filing or furnishing of a periodic or current report by us that disclosed MNPI.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our Compensation Committee is currently or has been at any time one of our officers or employees. None of our executive officers currently serves, or has served during the last completed fiscal year, as a member of the board of directors or compensation committee of any entity that has one or more executive officers serving as a member of our Board or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 w:name="A_003"/>
      <w:bookmarkEnd w:id="5"/>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about the beneficial ownership of our common stock as of March 31, 2026 for:</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19"/>
        <w:gridCol w:w="9912"/>
      </w:tblGrid>
      <w:tr>
        <w:trPr/>
        <w:tc>
          <w:tcPr>
            <w:tcW w:w="7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9912" w:type="dxa"/>
            <w:tcBorders/>
            <w:vAlign w:val="center"/>
          </w:tcPr>
          <w:p>
            <w:pPr>
              <w:pStyle w:val="TableContents"/>
              <w:bidi w:val="0"/>
              <w:spacing w:before="0" w:after="283"/>
              <w:jc w:val="both"/>
              <w:rPr/>
            </w:pPr>
            <w:r>
              <w:rPr/>
              <w:t>each person or group known to us who beneficially owns more than 5% of our common stock;</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3"/>
        <w:gridCol w:w="422"/>
        <w:gridCol w:w="9640"/>
      </w:tblGrid>
      <w:tr>
        <w:trPr/>
        <w:tc>
          <w:tcPr>
            <w:tcW w:w="14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pPr>
            <w:r>
              <w:rPr/>
              <w:t>●</w:t>
            </w:r>
          </w:p>
        </w:tc>
        <w:tc>
          <w:tcPr>
            <w:tcW w:w="9640" w:type="dxa"/>
            <w:tcBorders/>
            <w:vAlign w:val="center"/>
          </w:tcPr>
          <w:p>
            <w:pPr>
              <w:pStyle w:val="TableContents"/>
              <w:bidi w:val="0"/>
              <w:spacing w:before="0" w:after="283"/>
              <w:jc w:val="both"/>
              <w:rPr/>
            </w:pPr>
            <w:r>
              <w:rPr/>
              <w:t>each of our directors and nominees for director;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259"/>
        <w:gridCol w:w="9859"/>
      </w:tblGrid>
      <w:tr>
        <w:trPr/>
        <w:tc>
          <w:tcPr>
            <w:tcW w:w="8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w:t>
            </w:r>
          </w:p>
        </w:tc>
        <w:tc>
          <w:tcPr>
            <w:tcW w:w="9859" w:type="dxa"/>
            <w:tcBorders/>
            <w:vAlign w:val="center"/>
          </w:tcPr>
          <w:p>
            <w:pPr>
              <w:pStyle w:val="TableContents"/>
              <w:bidi w:val="0"/>
              <w:spacing w:before="0" w:after="283"/>
              <w:jc w:val="both"/>
              <w:rPr/>
            </w:pPr>
            <w:r>
              <w:rPr/>
              <w:t>each of our named executive officers named in “Executive Compensation”;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384"/>
        <w:gridCol w:w="9691"/>
      </w:tblGrid>
      <w:tr>
        <w:trPr/>
        <w:tc>
          <w:tcPr>
            <w:tcW w:w="13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w:t>
            </w:r>
          </w:p>
        </w:tc>
        <w:tc>
          <w:tcPr>
            <w:tcW w:w="9691" w:type="dxa"/>
            <w:tcBorders/>
            <w:vAlign w:val="center"/>
          </w:tcPr>
          <w:p>
            <w:pPr>
              <w:pStyle w:val="TableContents"/>
              <w:bidi w:val="0"/>
              <w:spacing w:before="0" w:after="283"/>
              <w:jc w:val="both"/>
              <w:rPr/>
            </w:pPr>
            <w:r>
              <w:rPr/>
              <w:t>all of our directors and executive officers as a group.</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stockholder’s percentage ownership is based on 27,996,819 shares of our common stock outstanding as of March 31, 2026. 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Common stock subject to options that are currently exercisable or exercisable within 60 days of March 31, 2026 are deemed to be outstanding and beneficially owned by the person holding the options. These shares, however, are not deemed outstanding for the purposes of computing the percentage ownership of any other person. Except as disclosed in the footnotes to this table and subject to applicable community property laws, we believe that each stockholder identified in the table possesses sole voting and investment power over all common stock shown as beneficially owned by the stockholder.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listed below is c/o Jasper Therapeutics, Inc., 2200 Bridge Pkwy Suite #102, Redwood City, CA 94065. Except as stated in the footnotes below, none of the stockholders or their affiliates, officers, directors and principal equity holders have held any position or office or have had any material relationship with us or our affiliates within the past three years.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269"/>
        <w:gridCol w:w="90"/>
        <w:gridCol w:w="147"/>
        <w:gridCol w:w="1655"/>
        <w:gridCol w:w="90"/>
        <w:gridCol w:w="90"/>
        <w:gridCol w:w="252"/>
        <w:gridCol w:w="1320"/>
        <w:gridCol w:w="292"/>
      </w:tblGrid>
      <w:tr>
        <w:trPr/>
        <w:tc>
          <w:tcPr>
            <w:tcW w:w="6269" w:type="dxa"/>
            <w:tcBorders>
              <w:bottom w:val="single" w:sz="12" w:space="0" w:color="000000"/>
            </w:tcBorders>
            <w:vAlign w:val="center"/>
          </w:tcPr>
          <w:p>
            <w:pPr>
              <w:pStyle w:val="TableContents"/>
              <w:bidi w:val="0"/>
              <w:spacing w:before="0" w:after="283"/>
              <w:jc w:val="left"/>
              <w:rPr>
                <w:b/>
              </w:rPr>
            </w:pPr>
            <w:r>
              <w:rPr>
                <w:b/>
              </w:rPr>
              <w:t>Name of Beneficial Owner</w:t>
            </w:r>
          </w:p>
        </w:tc>
        <w:tc>
          <w:tcPr>
            <w:tcW w:w="90" w:type="dxa"/>
            <w:tcBorders/>
            <w:tcMar>
              <w:bottom w:w="0" w:type="dxa"/>
            </w:tcMar>
            <w:vAlign w:val="center"/>
          </w:tcPr>
          <w:p>
            <w:pPr>
              <w:pStyle w:val="TableContents"/>
              <w:bidi w:val="0"/>
              <w:spacing w:before="0" w:after="283"/>
              <w:jc w:val="left"/>
              <w:rPr/>
            </w:pPr>
            <w:r>
              <w:rPr/>
              <w:t> </w:t>
            </w:r>
          </w:p>
        </w:tc>
        <w:tc>
          <w:tcPr>
            <w:tcW w:w="1802" w:type="dxa"/>
            <w:gridSpan w:val="2"/>
            <w:tcBorders>
              <w:bottom w:val="single" w:sz="12" w:space="0" w:color="000000"/>
            </w:tcBorders>
            <w:vAlign w:val="center"/>
          </w:tcPr>
          <w:p>
            <w:pPr>
              <w:pStyle w:val="TableContents"/>
              <w:bidi w:val="0"/>
              <w:spacing w:before="0" w:after="283"/>
              <w:jc w:val="center"/>
              <w:rPr>
                <w:b/>
              </w:rPr>
            </w:pPr>
            <w:r>
              <w:rPr>
                <w:b/>
              </w:rPr>
              <w:t>Number of Shares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72" w:type="dxa"/>
            <w:gridSpan w:val="2"/>
            <w:tcBorders>
              <w:bottom w:val="single" w:sz="12" w:space="0" w:color="000000"/>
            </w:tcBorders>
            <w:vAlign w:val="center"/>
          </w:tcPr>
          <w:p>
            <w:pPr>
              <w:pStyle w:val="TableContents"/>
              <w:bidi w:val="0"/>
              <w:spacing w:before="0" w:after="283"/>
              <w:jc w:val="center"/>
              <w:rPr>
                <w:b/>
              </w:rPr>
            </w:pPr>
            <w:r>
              <w:rPr>
                <w:b/>
              </w:rPr>
              <w:t>Percent of Class</w:t>
            </w:r>
          </w:p>
        </w:tc>
        <w:tc>
          <w:tcPr>
            <w:tcW w:w="292" w:type="dxa"/>
            <w:tcBorders/>
            <w:tcMar>
              <w:bottom w:w="0" w:type="dxa"/>
            </w:tcMar>
            <w:vAlign w:val="center"/>
          </w:tcPr>
          <w:p>
            <w:pPr>
              <w:pStyle w:val="TableContents"/>
              <w:bidi w:val="0"/>
              <w:spacing w:before="0" w:after="283"/>
              <w:jc w:val="left"/>
              <w:rPr/>
            </w:pPr>
            <w:r>
              <w:rPr/>
              <w:t> </w:t>
            </w:r>
          </w:p>
        </w:tc>
      </w:tr>
      <w:tr>
        <w:trPr/>
        <w:tc>
          <w:tcPr>
            <w:tcW w:w="6269" w:type="dxa"/>
            <w:tcBorders/>
            <w:tcMar>
              <w:bottom w:w="0" w:type="dxa"/>
            </w:tcMar>
            <w:vAlign w:val="center"/>
          </w:tcPr>
          <w:p>
            <w:pPr>
              <w:pStyle w:val="TableContents"/>
              <w:bidi w:val="0"/>
              <w:spacing w:before="0" w:after="283"/>
              <w:jc w:val="left"/>
              <w:rPr>
                <w:b/>
              </w:rPr>
            </w:pPr>
            <w:r>
              <w:rPr>
                <w:b/>
              </w:rPr>
              <w:t>5% Stockholders:</w:t>
            </w:r>
          </w:p>
        </w:tc>
        <w:tc>
          <w:tcPr>
            <w:tcW w:w="90" w:type="dxa"/>
            <w:tcBorders/>
            <w:tcMar>
              <w:bottom w:w="0" w:type="dxa"/>
            </w:tcMar>
            <w:vAlign w:val="center"/>
          </w:tcPr>
          <w:p>
            <w:pPr>
              <w:pStyle w:val="TableContents"/>
              <w:bidi w:val="0"/>
              <w:spacing w:before="0" w:after="283"/>
              <w:jc w:val="left"/>
              <w:rPr/>
            </w:pPr>
            <w:r>
              <w:rPr/>
              <w:t> </w:t>
            </w:r>
          </w:p>
        </w:tc>
        <w:tc>
          <w:tcPr>
            <w:tcW w:w="1802"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72" w:type="dxa"/>
            <w:gridSpan w:val="2"/>
            <w:tcBorders/>
            <w:tcMar>
              <w:bottom w:w="0" w:type="dxa"/>
            </w:tcMar>
            <w:vAlign w:val="center"/>
          </w:tcPr>
          <w:p>
            <w:pPr>
              <w:pStyle w:val="TableContents"/>
              <w:bidi w:val="0"/>
              <w:spacing w:before="0" w:after="283"/>
              <w:jc w:val="left"/>
              <w:rPr/>
            </w:pPr>
            <w:r>
              <w:rPr/>
              <w:t> </w:t>
            </w:r>
          </w:p>
        </w:tc>
        <w:tc>
          <w:tcPr>
            <w:tcW w:w="292" w:type="dxa"/>
            <w:tcBorders/>
            <w:tcMar>
              <w:bottom w:w="0" w:type="dxa"/>
            </w:tcMar>
            <w:vAlign w:val="center"/>
          </w:tcPr>
          <w:p>
            <w:pPr>
              <w:pStyle w:val="TableContents"/>
              <w:bidi w:val="0"/>
              <w:spacing w:before="0" w:after="283"/>
              <w:jc w:val="left"/>
              <w:rPr/>
            </w:pPr>
            <w:r>
              <w:rPr/>
              <w:t> </w:t>
            </w:r>
          </w:p>
        </w:tc>
      </w:tr>
      <w:tr>
        <w:trPr/>
        <w:tc>
          <w:tcPr>
            <w:tcW w:w="626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Acorn Capital Advisors, LLC</w:t>
            </w:r>
            <w:r>
              <w:rPr>
                <w:rFonts w:ascii="Times New Roman;Times;Serif" w:hAnsi="Times New Roman;Times;Serif"/>
                <w:position w:val="8"/>
                <w:sz w:val="19"/>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right"/>
              <w:rPr/>
            </w:pPr>
            <w:r>
              <w:rPr/>
              <w:t>1,486,492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1320" w:type="dxa"/>
            <w:tcBorders/>
            <w:shd w:fill="CCEEFF" w:val="clear"/>
            <w:tcMar>
              <w:bottom w:w="0" w:type="dxa"/>
            </w:tcMar>
            <w:vAlign w:val="center"/>
          </w:tcPr>
          <w:p>
            <w:pPr>
              <w:pStyle w:val="TableContents"/>
              <w:bidi w:val="0"/>
              <w:spacing w:before="0" w:after="283"/>
              <w:jc w:val="right"/>
              <w:rPr/>
            </w:pPr>
            <w:r>
              <w:rPr/>
              <w:t>5.3</w:t>
            </w:r>
          </w:p>
        </w:tc>
        <w:tc>
          <w:tcPr>
            <w:tcW w:w="292" w:type="dxa"/>
            <w:tcBorders/>
            <w:shd w:fill="CCEEFF" w:val="clear"/>
            <w:tcMar>
              <w:bottom w:w="0" w:type="dxa"/>
            </w:tcMar>
            <w:vAlign w:val="center"/>
          </w:tcPr>
          <w:p>
            <w:pPr>
              <w:pStyle w:val="TableContents"/>
              <w:bidi w:val="0"/>
              <w:spacing w:before="0" w:after="283"/>
              <w:jc w:val="left"/>
              <w:rPr/>
            </w:pPr>
            <w:r>
              <w:rPr/>
              <w:t>%</w:t>
            </w:r>
          </w:p>
        </w:tc>
      </w:tr>
      <w:tr>
        <w:trPr/>
        <w:tc>
          <w:tcPr>
            <w:tcW w:w="6269"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Integrated Core Strategies (US) LLC</w:t>
            </w:r>
            <w:r>
              <w:rPr>
                <w:rFonts w:ascii="Times New Roman;Times;Serif" w:hAnsi="Times New Roman;Times;Serif"/>
                <w:position w:val="8"/>
                <w:sz w:val="19"/>
              </w:rPr>
              <w:t>(2)</w:t>
            </w:r>
          </w:p>
        </w:tc>
        <w:tc>
          <w:tcPr>
            <w:tcW w:w="90" w:type="dxa"/>
            <w:tcBorders/>
            <w:tcMar>
              <w:bottom w:w="0" w:type="dxa"/>
            </w:tcMar>
            <w:vAlign w:val="center"/>
          </w:tcPr>
          <w:p>
            <w:pPr>
              <w:pStyle w:val="TableContents"/>
              <w:bidi w:val="0"/>
              <w:spacing w:before="0" w:after="283"/>
              <w:jc w:val="left"/>
              <w:rPr/>
            </w:pPr>
            <w:r>
              <w:rPr/>
              <w:t> </w:t>
            </w:r>
          </w:p>
        </w:tc>
        <w:tc>
          <w:tcPr>
            <w:tcW w:w="147"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right"/>
              <w:rPr/>
            </w:pPr>
            <w:r>
              <w:rPr/>
              <w:t>1,624,076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2" w:type="dxa"/>
            <w:tcBorders/>
            <w:tcMar>
              <w:bottom w:w="0" w:type="dxa"/>
            </w:tcMar>
            <w:vAlign w:val="center"/>
          </w:tcPr>
          <w:p>
            <w:pPr>
              <w:pStyle w:val="TableContents"/>
              <w:bidi w:val="0"/>
              <w:spacing w:before="0" w:after="283"/>
              <w:jc w:val="left"/>
              <w:rPr/>
            </w:pPr>
            <w:r>
              <w:rPr/>
              <w:t> </w:t>
            </w:r>
          </w:p>
        </w:tc>
        <w:tc>
          <w:tcPr>
            <w:tcW w:w="1320" w:type="dxa"/>
            <w:tcBorders/>
            <w:tcMar>
              <w:bottom w:w="0" w:type="dxa"/>
            </w:tcMar>
            <w:vAlign w:val="center"/>
          </w:tcPr>
          <w:p>
            <w:pPr>
              <w:pStyle w:val="TableContents"/>
              <w:bidi w:val="0"/>
              <w:spacing w:before="0" w:after="283"/>
              <w:jc w:val="right"/>
              <w:rPr/>
            </w:pPr>
            <w:r>
              <w:rPr/>
              <w:t>5.8</w:t>
            </w:r>
          </w:p>
        </w:tc>
        <w:tc>
          <w:tcPr>
            <w:tcW w:w="292" w:type="dxa"/>
            <w:tcBorders/>
            <w:tcMar>
              <w:bottom w:w="0" w:type="dxa"/>
            </w:tcMar>
            <w:vAlign w:val="center"/>
          </w:tcPr>
          <w:p>
            <w:pPr>
              <w:pStyle w:val="TableContents"/>
              <w:bidi w:val="0"/>
              <w:spacing w:before="0" w:after="283"/>
              <w:jc w:val="left"/>
              <w:rPr/>
            </w:pPr>
            <w:r>
              <w:rPr/>
              <w:t>%</w:t>
            </w:r>
          </w:p>
        </w:tc>
      </w:tr>
      <w:tr>
        <w:trPr/>
        <w:tc>
          <w:tcPr>
            <w:tcW w:w="626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Goldman Sachs Group, Inc.</w:t>
            </w:r>
            <w:r>
              <w:rPr>
                <w:rFonts w:ascii="Times New Roman;Times;Serif" w:hAnsi="Times New Roman;Times;Serif"/>
                <w:position w:val="8"/>
                <w:sz w:val="19"/>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right"/>
              <w:rPr/>
            </w:pPr>
            <w:r>
              <w:rPr/>
              <w:t>1,764,848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1320" w:type="dxa"/>
            <w:tcBorders/>
            <w:shd w:fill="CCEEFF" w:val="clear"/>
            <w:tcMar>
              <w:bottom w:w="0" w:type="dxa"/>
            </w:tcMar>
            <w:vAlign w:val="center"/>
          </w:tcPr>
          <w:p>
            <w:pPr>
              <w:pStyle w:val="TableContents"/>
              <w:bidi w:val="0"/>
              <w:spacing w:before="0" w:after="283"/>
              <w:jc w:val="right"/>
              <w:rPr/>
            </w:pPr>
            <w:r>
              <w:rPr/>
              <w:t>6.3</w:t>
            </w:r>
          </w:p>
        </w:tc>
        <w:tc>
          <w:tcPr>
            <w:tcW w:w="292" w:type="dxa"/>
            <w:tcBorders/>
            <w:shd w:fill="CCEEFF" w:val="clear"/>
            <w:tcMar>
              <w:bottom w:w="0" w:type="dxa"/>
            </w:tcMar>
            <w:vAlign w:val="center"/>
          </w:tcPr>
          <w:p>
            <w:pPr>
              <w:pStyle w:val="TableContents"/>
              <w:bidi w:val="0"/>
              <w:spacing w:before="0" w:after="283"/>
              <w:jc w:val="left"/>
              <w:rPr/>
            </w:pPr>
            <w:r>
              <w:rPr/>
              <w:t>%</w:t>
            </w:r>
          </w:p>
        </w:tc>
      </w:tr>
      <w:tr>
        <w:trPr/>
        <w:tc>
          <w:tcPr>
            <w:tcW w:w="6269"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Morgan Stanley</w:t>
            </w:r>
            <w:r>
              <w:rPr>
                <w:rFonts w:ascii="Times New Roman;Times;Serif" w:hAnsi="Times New Roman;Times;Serif"/>
                <w:position w:val="8"/>
                <w:sz w:val="19"/>
              </w:rPr>
              <w:t>(4)</w:t>
            </w:r>
          </w:p>
        </w:tc>
        <w:tc>
          <w:tcPr>
            <w:tcW w:w="90" w:type="dxa"/>
            <w:tcBorders/>
            <w:tcMar>
              <w:bottom w:w="0" w:type="dxa"/>
            </w:tcMar>
            <w:vAlign w:val="center"/>
          </w:tcPr>
          <w:p>
            <w:pPr>
              <w:pStyle w:val="TableContents"/>
              <w:bidi w:val="0"/>
              <w:spacing w:before="0" w:after="283"/>
              <w:jc w:val="left"/>
              <w:rPr/>
            </w:pPr>
            <w:r>
              <w:rPr/>
              <w:t> </w:t>
            </w:r>
          </w:p>
        </w:tc>
        <w:tc>
          <w:tcPr>
            <w:tcW w:w="147"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right"/>
              <w:rPr/>
            </w:pPr>
            <w:r>
              <w:rPr/>
              <w:t>1,969,785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2" w:type="dxa"/>
            <w:tcBorders/>
            <w:tcMar>
              <w:bottom w:w="0" w:type="dxa"/>
            </w:tcMar>
            <w:vAlign w:val="center"/>
          </w:tcPr>
          <w:p>
            <w:pPr>
              <w:pStyle w:val="TableContents"/>
              <w:bidi w:val="0"/>
              <w:spacing w:before="0" w:after="283"/>
              <w:jc w:val="left"/>
              <w:rPr/>
            </w:pPr>
            <w:r>
              <w:rPr/>
              <w:t> </w:t>
            </w:r>
          </w:p>
        </w:tc>
        <w:tc>
          <w:tcPr>
            <w:tcW w:w="1320" w:type="dxa"/>
            <w:tcBorders/>
            <w:tcMar>
              <w:bottom w:w="0" w:type="dxa"/>
            </w:tcMar>
            <w:vAlign w:val="center"/>
          </w:tcPr>
          <w:p>
            <w:pPr>
              <w:pStyle w:val="TableContents"/>
              <w:bidi w:val="0"/>
              <w:spacing w:before="0" w:after="283"/>
              <w:jc w:val="right"/>
              <w:rPr/>
            </w:pPr>
            <w:r>
              <w:rPr/>
              <w:t>7.0</w:t>
            </w:r>
          </w:p>
        </w:tc>
        <w:tc>
          <w:tcPr>
            <w:tcW w:w="292" w:type="dxa"/>
            <w:tcBorders/>
            <w:tcMar>
              <w:bottom w:w="0" w:type="dxa"/>
            </w:tcMar>
            <w:vAlign w:val="center"/>
          </w:tcPr>
          <w:p>
            <w:pPr>
              <w:pStyle w:val="TableContents"/>
              <w:bidi w:val="0"/>
              <w:spacing w:before="0" w:after="283"/>
              <w:jc w:val="left"/>
              <w:rPr/>
            </w:pPr>
            <w:r>
              <w:rPr/>
              <w:t>%</w:t>
            </w:r>
          </w:p>
        </w:tc>
      </w:tr>
      <w:tr>
        <w:trPr/>
        <w:tc>
          <w:tcPr>
            <w:tcW w:w="626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 Rowe Price Investment Management, Inc.</w:t>
            </w:r>
            <w:r>
              <w:rPr>
                <w:rFonts w:ascii="Times New Roman;Times;Serif" w:hAnsi="Times New Roman;Times;Serif"/>
                <w:position w:val="8"/>
                <w:sz w:val="19"/>
              </w:rPr>
              <w:t>(5)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right"/>
              <w:rPr/>
            </w:pPr>
            <w:r>
              <w:rPr/>
              <w:t>2,057,612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1320" w:type="dxa"/>
            <w:tcBorders/>
            <w:shd w:fill="CCEEFF" w:val="clear"/>
            <w:tcMar>
              <w:bottom w:w="0" w:type="dxa"/>
            </w:tcMar>
            <w:vAlign w:val="center"/>
          </w:tcPr>
          <w:p>
            <w:pPr>
              <w:pStyle w:val="TableContents"/>
              <w:bidi w:val="0"/>
              <w:spacing w:before="0" w:after="283"/>
              <w:jc w:val="right"/>
              <w:rPr/>
            </w:pPr>
            <w:r>
              <w:rPr/>
              <w:t>7.3</w:t>
            </w:r>
          </w:p>
        </w:tc>
        <w:tc>
          <w:tcPr>
            <w:tcW w:w="292" w:type="dxa"/>
            <w:tcBorders/>
            <w:shd w:fill="CCEEFF" w:val="clear"/>
            <w:tcMar>
              <w:bottom w:w="0" w:type="dxa"/>
            </w:tcMar>
            <w:vAlign w:val="center"/>
          </w:tcPr>
          <w:p>
            <w:pPr>
              <w:pStyle w:val="TableContents"/>
              <w:bidi w:val="0"/>
              <w:spacing w:before="0" w:after="283"/>
              <w:jc w:val="left"/>
              <w:rPr/>
            </w:pPr>
            <w:r>
              <w:rPr/>
              <w:t>%</w:t>
            </w:r>
          </w:p>
        </w:tc>
      </w:tr>
      <w:tr>
        <w:trPr/>
        <w:tc>
          <w:tcPr>
            <w:tcW w:w="6269"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Velan Capital Management LLC and Affiliates</w:t>
            </w:r>
            <w:r>
              <w:rPr>
                <w:rFonts w:ascii="Times New Roman;Times;Serif" w:hAnsi="Times New Roman;Times;Serif"/>
                <w:position w:val="8"/>
                <w:sz w:val="19"/>
              </w:rPr>
              <w:t>(6)</w:t>
            </w:r>
          </w:p>
        </w:tc>
        <w:tc>
          <w:tcPr>
            <w:tcW w:w="90" w:type="dxa"/>
            <w:tcBorders/>
            <w:tcMar>
              <w:bottom w:w="0" w:type="dxa"/>
            </w:tcMar>
            <w:vAlign w:val="center"/>
          </w:tcPr>
          <w:p>
            <w:pPr>
              <w:pStyle w:val="TableContents"/>
              <w:bidi w:val="0"/>
              <w:spacing w:before="0" w:after="283"/>
              <w:jc w:val="left"/>
              <w:rPr/>
            </w:pPr>
            <w:r>
              <w:rPr/>
              <w:t> </w:t>
            </w:r>
          </w:p>
        </w:tc>
        <w:tc>
          <w:tcPr>
            <w:tcW w:w="147"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right"/>
              <w:rPr/>
            </w:pPr>
            <w:r>
              <w:rPr/>
              <w:t>2,811,142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2" w:type="dxa"/>
            <w:tcBorders/>
            <w:tcMar>
              <w:bottom w:w="0" w:type="dxa"/>
            </w:tcMar>
            <w:vAlign w:val="center"/>
          </w:tcPr>
          <w:p>
            <w:pPr>
              <w:pStyle w:val="TableContents"/>
              <w:bidi w:val="0"/>
              <w:spacing w:before="0" w:after="283"/>
              <w:jc w:val="left"/>
              <w:rPr/>
            </w:pPr>
            <w:r>
              <w:rPr/>
              <w:t> </w:t>
            </w:r>
          </w:p>
        </w:tc>
        <w:tc>
          <w:tcPr>
            <w:tcW w:w="1320" w:type="dxa"/>
            <w:tcBorders/>
            <w:tcMar>
              <w:bottom w:w="0" w:type="dxa"/>
            </w:tcMar>
            <w:vAlign w:val="center"/>
          </w:tcPr>
          <w:p>
            <w:pPr>
              <w:pStyle w:val="TableContents"/>
              <w:bidi w:val="0"/>
              <w:spacing w:before="0" w:after="283"/>
              <w:jc w:val="right"/>
              <w:rPr/>
            </w:pPr>
            <w:r>
              <w:rPr/>
              <w:t>9.99</w:t>
            </w:r>
          </w:p>
        </w:tc>
        <w:tc>
          <w:tcPr>
            <w:tcW w:w="292" w:type="dxa"/>
            <w:tcBorders/>
            <w:tcMar>
              <w:bottom w:w="0" w:type="dxa"/>
            </w:tcMar>
            <w:vAlign w:val="center"/>
          </w:tcPr>
          <w:p>
            <w:pPr>
              <w:pStyle w:val="TableContents"/>
              <w:bidi w:val="0"/>
              <w:spacing w:before="0" w:after="283"/>
              <w:jc w:val="left"/>
              <w:rPr/>
            </w:pPr>
            <w:r>
              <w:rPr/>
              <w:t>%</w:t>
            </w:r>
          </w:p>
        </w:tc>
      </w:tr>
      <w:tr>
        <w:trPr/>
        <w:tc>
          <w:tcPr>
            <w:tcW w:w="6269" w:type="dxa"/>
            <w:tcBorders/>
            <w:shd w:fill="CCEEFF" w:val="clear"/>
            <w:tcMar>
              <w:bottom w:w="0" w:type="dxa"/>
            </w:tcMar>
            <w:vAlign w:val="center"/>
          </w:tcPr>
          <w:p>
            <w:pPr>
              <w:pStyle w:val="TableContents"/>
              <w:bidi w:val="0"/>
              <w:spacing w:before="0" w:after="283"/>
              <w:jc w:val="left"/>
              <w:rPr>
                <w:b/>
              </w:rPr>
            </w:pPr>
            <w:r>
              <w:rPr>
                <w:b/>
              </w:rPr>
              <w:t>Directors and Named Executive Officers: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1320" w:type="dxa"/>
            <w:tcBorders/>
            <w:shd w:fill="CCEEFF" w:val="clear"/>
            <w:tcMar>
              <w:bottom w:w="0" w:type="dxa"/>
            </w:tcMar>
            <w:vAlign w:val="center"/>
          </w:tcPr>
          <w:p>
            <w:pPr>
              <w:pStyle w:val="TableContents"/>
              <w:bidi w:val="0"/>
              <w:spacing w:before="0" w:after="283"/>
              <w:jc w:val="right"/>
              <w:rPr/>
            </w:pPr>
            <w:r>
              <w:rPr/>
              <w:t> </w:t>
            </w:r>
          </w:p>
        </w:tc>
        <w:tc>
          <w:tcPr>
            <w:tcW w:w="292" w:type="dxa"/>
            <w:tcBorders/>
            <w:shd w:fill="CCEEFF" w:val="clear"/>
            <w:tcMar>
              <w:bottom w:w="0" w:type="dxa"/>
            </w:tcMar>
            <w:vAlign w:val="center"/>
          </w:tcPr>
          <w:p>
            <w:pPr>
              <w:pStyle w:val="TableContents"/>
              <w:bidi w:val="0"/>
              <w:spacing w:before="0" w:after="283"/>
              <w:jc w:val="left"/>
              <w:rPr/>
            </w:pPr>
            <w:r>
              <w:rPr/>
              <w:t> </w:t>
            </w:r>
          </w:p>
        </w:tc>
      </w:tr>
      <w:tr>
        <w:trPr/>
        <w:tc>
          <w:tcPr>
            <w:tcW w:w="6269"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Jeet Mahal</w:t>
            </w:r>
            <w:r>
              <w:rPr>
                <w:rFonts w:ascii="Times New Roman;Times;Serif" w:hAnsi="Times New Roman;Times;Serif"/>
                <w:position w:val="8"/>
                <w:sz w:val="19"/>
              </w:rPr>
              <w:t>(7)</w:t>
            </w:r>
          </w:p>
        </w:tc>
        <w:tc>
          <w:tcPr>
            <w:tcW w:w="90" w:type="dxa"/>
            <w:tcBorders/>
            <w:tcMar>
              <w:bottom w:w="0" w:type="dxa"/>
            </w:tcMar>
            <w:vAlign w:val="center"/>
          </w:tcPr>
          <w:p>
            <w:pPr>
              <w:pStyle w:val="TableContents"/>
              <w:bidi w:val="0"/>
              <w:spacing w:before="0" w:after="283"/>
              <w:jc w:val="left"/>
              <w:rPr/>
            </w:pPr>
            <w:r>
              <w:rPr/>
              <w:t> </w:t>
            </w:r>
          </w:p>
        </w:tc>
        <w:tc>
          <w:tcPr>
            <w:tcW w:w="147"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right"/>
              <w:rPr/>
            </w:pPr>
            <w:r>
              <w:rPr/>
              <w:t>118,927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2" w:type="dxa"/>
            <w:tcBorders/>
            <w:tcMar>
              <w:bottom w:w="0" w:type="dxa"/>
            </w:tcMar>
            <w:vAlign w:val="center"/>
          </w:tcPr>
          <w:p>
            <w:pPr>
              <w:pStyle w:val="TableContents"/>
              <w:bidi w:val="0"/>
              <w:spacing w:before="0" w:after="283"/>
              <w:jc w:val="left"/>
              <w:rPr/>
            </w:pPr>
            <w:r>
              <w:rPr/>
              <w:t> </w:t>
            </w:r>
          </w:p>
        </w:tc>
        <w:tc>
          <w:tcPr>
            <w:tcW w:w="132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92" w:type="dxa"/>
            <w:tcBorders/>
            <w:tcMar>
              <w:bottom w:w="0" w:type="dxa"/>
            </w:tcMar>
            <w:vAlign w:val="center"/>
          </w:tcPr>
          <w:p>
            <w:pPr>
              <w:pStyle w:val="TableContents"/>
              <w:bidi w:val="0"/>
              <w:spacing w:before="0" w:after="283"/>
              <w:jc w:val="left"/>
              <w:rPr/>
            </w:pPr>
            <w:r>
              <w:rPr/>
              <w:t> </w:t>
            </w:r>
          </w:p>
        </w:tc>
      </w:tr>
      <w:tr>
        <w:trPr/>
        <w:tc>
          <w:tcPr>
            <w:tcW w:w="626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Herb Cross</w:t>
            </w:r>
            <w:r>
              <w:rPr>
                <w:rFonts w:ascii="Times New Roman;Times;Serif" w:hAnsi="Times New Roman;Times;Serif"/>
                <w:position w:val="8"/>
                <w:sz w:val="19"/>
              </w:rPr>
              <w:t>(8)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right"/>
              <w:rPr/>
            </w:pPr>
            <w:r>
              <w:rPr/>
              <w:t>74,791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13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92" w:type="dxa"/>
            <w:tcBorders/>
            <w:shd w:fill="CCEEFF" w:val="clear"/>
            <w:tcMar>
              <w:bottom w:w="0" w:type="dxa"/>
            </w:tcMar>
            <w:vAlign w:val="center"/>
          </w:tcPr>
          <w:p>
            <w:pPr>
              <w:pStyle w:val="TableContents"/>
              <w:bidi w:val="0"/>
              <w:spacing w:before="0" w:after="283"/>
              <w:jc w:val="left"/>
              <w:rPr/>
            </w:pPr>
            <w:r>
              <w:rPr/>
              <w:t> </w:t>
            </w:r>
          </w:p>
        </w:tc>
      </w:tr>
      <w:tr>
        <w:trPr/>
        <w:tc>
          <w:tcPr>
            <w:tcW w:w="6269"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Ronald Martell</w:t>
            </w:r>
            <w:r>
              <w:rPr>
                <w:rFonts w:ascii="Times New Roman;Times;Serif" w:hAnsi="Times New Roman;Times;Serif"/>
                <w:position w:val="8"/>
                <w:sz w:val="19"/>
              </w:rPr>
              <w:t>(9)</w:t>
            </w:r>
          </w:p>
        </w:tc>
        <w:tc>
          <w:tcPr>
            <w:tcW w:w="90" w:type="dxa"/>
            <w:tcBorders/>
            <w:tcMar>
              <w:bottom w:w="0" w:type="dxa"/>
            </w:tcMar>
            <w:vAlign w:val="center"/>
          </w:tcPr>
          <w:p>
            <w:pPr>
              <w:pStyle w:val="TableContents"/>
              <w:bidi w:val="0"/>
              <w:spacing w:before="0" w:after="283"/>
              <w:jc w:val="left"/>
              <w:rPr/>
            </w:pPr>
            <w:r>
              <w:rPr/>
              <w:t> </w:t>
            </w:r>
          </w:p>
        </w:tc>
        <w:tc>
          <w:tcPr>
            <w:tcW w:w="147"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right"/>
              <w:rPr/>
            </w:pPr>
            <w:r>
              <w:rPr/>
              <w:t>398,651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2" w:type="dxa"/>
            <w:tcBorders/>
            <w:tcMar>
              <w:bottom w:w="0" w:type="dxa"/>
            </w:tcMar>
            <w:vAlign w:val="center"/>
          </w:tcPr>
          <w:p>
            <w:pPr>
              <w:pStyle w:val="TableContents"/>
              <w:bidi w:val="0"/>
              <w:spacing w:before="0" w:after="283"/>
              <w:jc w:val="left"/>
              <w:rPr/>
            </w:pPr>
            <w:r>
              <w:rPr/>
              <w:t> </w:t>
            </w:r>
          </w:p>
        </w:tc>
        <w:tc>
          <w:tcPr>
            <w:tcW w:w="1320" w:type="dxa"/>
            <w:tcBorders/>
            <w:tcMar>
              <w:bottom w:w="0" w:type="dxa"/>
            </w:tcMar>
            <w:vAlign w:val="center"/>
          </w:tcPr>
          <w:p>
            <w:pPr>
              <w:pStyle w:val="TableContents"/>
              <w:bidi w:val="0"/>
              <w:spacing w:before="0" w:after="283"/>
              <w:jc w:val="right"/>
              <w:rPr/>
            </w:pPr>
            <w:r>
              <w:rPr/>
              <w:t>1.4</w:t>
            </w:r>
          </w:p>
        </w:tc>
        <w:tc>
          <w:tcPr>
            <w:tcW w:w="292" w:type="dxa"/>
            <w:tcBorders/>
            <w:tcMar>
              <w:bottom w:w="0" w:type="dxa"/>
            </w:tcMar>
            <w:vAlign w:val="center"/>
          </w:tcPr>
          <w:p>
            <w:pPr>
              <w:pStyle w:val="TableContents"/>
              <w:bidi w:val="0"/>
              <w:spacing w:before="0" w:after="283"/>
              <w:jc w:val="left"/>
              <w:rPr/>
            </w:pPr>
            <w:r>
              <w:rPr/>
              <w:t>%</w:t>
            </w:r>
          </w:p>
        </w:tc>
      </w:tr>
      <w:tr>
        <w:trPr/>
        <w:tc>
          <w:tcPr>
            <w:tcW w:w="626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Edwin Tucker, M.D.</w:t>
            </w:r>
            <w:r>
              <w:rPr>
                <w:rFonts w:ascii="Times New Roman;Times;Serif" w:hAnsi="Times New Roman;Times;Serif"/>
                <w:position w:val="8"/>
                <w:sz w:val="19"/>
              </w:rPr>
              <w:t>(10)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right"/>
              <w:rPr/>
            </w:pPr>
            <w:r>
              <w:rPr/>
              <w:t>1,540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13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92" w:type="dxa"/>
            <w:tcBorders/>
            <w:shd w:fill="CCEEFF" w:val="clear"/>
            <w:tcMar>
              <w:bottom w:w="0" w:type="dxa"/>
            </w:tcMar>
            <w:vAlign w:val="center"/>
          </w:tcPr>
          <w:p>
            <w:pPr>
              <w:pStyle w:val="TableContents"/>
              <w:bidi w:val="0"/>
              <w:spacing w:before="0" w:after="283"/>
              <w:jc w:val="left"/>
              <w:rPr/>
            </w:pPr>
            <w:r>
              <w:rPr/>
              <w:t> </w:t>
            </w:r>
          </w:p>
        </w:tc>
      </w:tr>
      <w:tr>
        <w:trPr/>
        <w:tc>
          <w:tcPr>
            <w:tcW w:w="6269"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Svetlana Lucas, Ph.D.</w:t>
            </w:r>
            <w:r>
              <w:rPr>
                <w:rFonts w:ascii="Times New Roman;Times;Serif" w:hAnsi="Times New Roman;Times;Serif"/>
                <w:position w:val="8"/>
                <w:sz w:val="19"/>
              </w:rPr>
              <w:t>(11)</w:t>
            </w:r>
          </w:p>
        </w:tc>
        <w:tc>
          <w:tcPr>
            <w:tcW w:w="90" w:type="dxa"/>
            <w:tcBorders/>
            <w:tcMar>
              <w:bottom w:w="0" w:type="dxa"/>
            </w:tcMar>
            <w:vAlign w:val="center"/>
          </w:tcPr>
          <w:p>
            <w:pPr>
              <w:pStyle w:val="TableContents"/>
              <w:bidi w:val="0"/>
              <w:spacing w:before="0" w:after="283"/>
              <w:jc w:val="left"/>
              <w:rPr/>
            </w:pPr>
            <w:r>
              <w:rPr/>
              <w:t> </w:t>
            </w:r>
          </w:p>
        </w:tc>
        <w:tc>
          <w:tcPr>
            <w:tcW w:w="147"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right"/>
              <w:rPr/>
            </w:pPr>
            <w:r>
              <w:rPr/>
              <w:t>27,187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2" w:type="dxa"/>
            <w:tcBorders/>
            <w:tcMar>
              <w:bottom w:w="0" w:type="dxa"/>
            </w:tcMar>
            <w:vAlign w:val="center"/>
          </w:tcPr>
          <w:p>
            <w:pPr>
              <w:pStyle w:val="TableContents"/>
              <w:bidi w:val="0"/>
              <w:spacing w:before="0" w:after="283"/>
              <w:jc w:val="left"/>
              <w:rPr/>
            </w:pPr>
            <w:r>
              <w:rPr/>
              <w:t> </w:t>
            </w:r>
          </w:p>
        </w:tc>
        <w:tc>
          <w:tcPr>
            <w:tcW w:w="132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92" w:type="dxa"/>
            <w:tcBorders/>
            <w:tcMar>
              <w:bottom w:w="0" w:type="dxa"/>
            </w:tcMar>
            <w:vAlign w:val="center"/>
          </w:tcPr>
          <w:p>
            <w:pPr>
              <w:pStyle w:val="TableContents"/>
              <w:bidi w:val="0"/>
              <w:spacing w:before="0" w:after="283"/>
              <w:jc w:val="left"/>
              <w:rPr/>
            </w:pPr>
            <w:r>
              <w:rPr/>
              <w:t> </w:t>
            </w:r>
          </w:p>
        </w:tc>
      </w:tr>
      <w:tr>
        <w:trPr/>
        <w:tc>
          <w:tcPr>
            <w:tcW w:w="626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Scott Brun, M.D.</w:t>
            </w:r>
            <w:r>
              <w:rPr>
                <w:rFonts w:ascii="Times New Roman;Times;Serif" w:hAnsi="Times New Roman;Times;Serif"/>
                <w:position w:val="8"/>
                <w:sz w:val="19"/>
              </w:rPr>
              <w:t>(12)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right"/>
              <w:rPr/>
            </w:pPr>
            <w:r>
              <w:rPr/>
              <w:t>14,354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13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92" w:type="dxa"/>
            <w:tcBorders/>
            <w:shd w:fill="CCEEFF" w:val="clear"/>
            <w:tcMar>
              <w:bottom w:w="0" w:type="dxa"/>
            </w:tcMar>
            <w:vAlign w:val="center"/>
          </w:tcPr>
          <w:p>
            <w:pPr>
              <w:pStyle w:val="TableContents"/>
              <w:bidi w:val="0"/>
              <w:spacing w:before="0" w:after="283"/>
              <w:jc w:val="left"/>
              <w:rPr/>
            </w:pPr>
            <w:r>
              <w:rPr/>
              <w:t> </w:t>
            </w:r>
          </w:p>
        </w:tc>
      </w:tr>
      <w:tr>
        <w:trPr/>
        <w:tc>
          <w:tcPr>
            <w:tcW w:w="6269"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Tom Wiggans</w:t>
            </w:r>
            <w:r>
              <w:rPr>
                <w:rFonts w:ascii="Times New Roman;Times;Serif" w:hAnsi="Times New Roman;Times;Serif"/>
                <w:position w:val="8"/>
                <w:sz w:val="19"/>
              </w:rPr>
              <w:t>(13)</w:t>
            </w:r>
          </w:p>
        </w:tc>
        <w:tc>
          <w:tcPr>
            <w:tcW w:w="90" w:type="dxa"/>
            <w:tcBorders/>
            <w:tcMar>
              <w:bottom w:w="0" w:type="dxa"/>
            </w:tcMar>
            <w:vAlign w:val="center"/>
          </w:tcPr>
          <w:p>
            <w:pPr>
              <w:pStyle w:val="TableContents"/>
              <w:bidi w:val="0"/>
              <w:spacing w:before="0" w:after="283"/>
              <w:jc w:val="left"/>
              <w:rPr/>
            </w:pPr>
            <w:r>
              <w:rPr/>
              <w:t> </w:t>
            </w:r>
          </w:p>
        </w:tc>
        <w:tc>
          <w:tcPr>
            <w:tcW w:w="147"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right"/>
              <w:rPr/>
            </w:pPr>
            <w:r>
              <w:rPr/>
              <w:t>60,375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2" w:type="dxa"/>
            <w:tcBorders/>
            <w:tcMar>
              <w:bottom w:w="0" w:type="dxa"/>
            </w:tcMar>
            <w:vAlign w:val="center"/>
          </w:tcPr>
          <w:p>
            <w:pPr>
              <w:pStyle w:val="TableContents"/>
              <w:bidi w:val="0"/>
              <w:spacing w:before="0" w:after="283"/>
              <w:jc w:val="left"/>
              <w:rPr/>
            </w:pPr>
            <w:r>
              <w:rPr/>
              <w:t> </w:t>
            </w:r>
          </w:p>
        </w:tc>
        <w:tc>
          <w:tcPr>
            <w:tcW w:w="132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92" w:type="dxa"/>
            <w:tcBorders/>
            <w:tcMar>
              <w:bottom w:w="0" w:type="dxa"/>
            </w:tcMar>
            <w:vAlign w:val="center"/>
          </w:tcPr>
          <w:p>
            <w:pPr>
              <w:pStyle w:val="TableContents"/>
              <w:bidi w:val="0"/>
              <w:spacing w:before="0" w:after="283"/>
              <w:jc w:val="left"/>
              <w:rPr/>
            </w:pPr>
            <w:r>
              <w:rPr/>
              <w:t> </w:t>
            </w:r>
          </w:p>
        </w:tc>
      </w:tr>
      <w:tr>
        <w:trPr/>
        <w:tc>
          <w:tcPr>
            <w:tcW w:w="626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Christian W. Nolet</w:t>
            </w:r>
            <w:r>
              <w:rPr>
                <w:rFonts w:ascii="Times New Roman;Times;Serif" w:hAnsi="Times New Roman;Times;Serif"/>
                <w:position w:val="8"/>
                <w:sz w:val="19"/>
              </w:rPr>
              <w:t>(14)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right"/>
              <w:rPr/>
            </w:pPr>
            <w:r>
              <w:rPr/>
              <w:t>23,254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13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92" w:type="dxa"/>
            <w:tcBorders/>
            <w:shd w:fill="CCEEFF" w:val="clear"/>
            <w:tcMar>
              <w:bottom w:w="0" w:type="dxa"/>
            </w:tcMar>
            <w:vAlign w:val="center"/>
          </w:tcPr>
          <w:p>
            <w:pPr>
              <w:pStyle w:val="TableContents"/>
              <w:bidi w:val="0"/>
              <w:spacing w:before="0" w:after="283"/>
              <w:jc w:val="left"/>
              <w:rPr/>
            </w:pPr>
            <w:r>
              <w:rPr/>
              <w:t> </w:t>
            </w:r>
          </w:p>
        </w:tc>
      </w:tr>
      <w:tr>
        <w:trPr/>
        <w:tc>
          <w:tcPr>
            <w:tcW w:w="6269"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Judith Shizuru, M.D. Ph.D.</w:t>
            </w:r>
            <w:r>
              <w:rPr>
                <w:rFonts w:ascii="Times New Roman;Times;Serif" w:hAnsi="Times New Roman;Times;Serif"/>
                <w:position w:val="8"/>
                <w:sz w:val="19"/>
              </w:rPr>
              <w:t>(15)</w:t>
            </w:r>
          </w:p>
        </w:tc>
        <w:tc>
          <w:tcPr>
            <w:tcW w:w="90" w:type="dxa"/>
            <w:tcBorders/>
            <w:tcMar>
              <w:bottom w:w="0" w:type="dxa"/>
            </w:tcMar>
            <w:vAlign w:val="center"/>
          </w:tcPr>
          <w:p>
            <w:pPr>
              <w:pStyle w:val="TableContents"/>
              <w:bidi w:val="0"/>
              <w:spacing w:before="0" w:after="283"/>
              <w:jc w:val="left"/>
              <w:rPr/>
            </w:pPr>
            <w:r>
              <w:rPr/>
              <w:t> </w:t>
            </w:r>
          </w:p>
        </w:tc>
        <w:tc>
          <w:tcPr>
            <w:tcW w:w="147"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right"/>
              <w:rPr/>
            </w:pPr>
            <w:r>
              <w:rPr/>
              <w:t>191,521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2" w:type="dxa"/>
            <w:tcBorders/>
            <w:tcMar>
              <w:bottom w:w="0" w:type="dxa"/>
            </w:tcMar>
            <w:vAlign w:val="center"/>
          </w:tcPr>
          <w:p>
            <w:pPr>
              <w:pStyle w:val="TableContents"/>
              <w:bidi w:val="0"/>
              <w:spacing w:before="0" w:after="283"/>
              <w:jc w:val="left"/>
              <w:rPr/>
            </w:pPr>
            <w:r>
              <w:rPr/>
              <w:t> </w:t>
            </w:r>
          </w:p>
        </w:tc>
        <w:tc>
          <w:tcPr>
            <w:tcW w:w="132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92" w:type="dxa"/>
            <w:tcBorders/>
            <w:tcMar>
              <w:bottom w:w="0" w:type="dxa"/>
            </w:tcMar>
            <w:vAlign w:val="center"/>
          </w:tcPr>
          <w:p>
            <w:pPr>
              <w:pStyle w:val="TableContents"/>
              <w:bidi w:val="0"/>
              <w:spacing w:before="0" w:after="283"/>
              <w:jc w:val="left"/>
              <w:rPr/>
            </w:pPr>
            <w:r>
              <w:rPr/>
              <w:t> </w:t>
            </w:r>
          </w:p>
        </w:tc>
      </w:tr>
      <w:tr>
        <w:trPr/>
        <w:tc>
          <w:tcPr>
            <w:tcW w:w="626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Kurt von Emster</w:t>
            </w:r>
            <w:r>
              <w:rPr>
                <w:rFonts w:ascii="Times New Roman;Times;Serif" w:hAnsi="Times New Roman;Times;Serif"/>
                <w:position w:val="8"/>
                <w:sz w:val="19"/>
              </w:rPr>
              <w:t>(16)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right"/>
              <w:rPr/>
            </w:pPr>
            <w:r>
              <w:rPr/>
              <w:t>22,121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13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92" w:type="dxa"/>
            <w:tcBorders/>
            <w:shd w:fill="CCEEFF" w:val="clear"/>
            <w:tcMar>
              <w:bottom w:w="0" w:type="dxa"/>
            </w:tcMar>
            <w:vAlign w:val="center"/>
          </w:tcPr>
          <w:p>
            <w:pPr>
              <w:pStyle w:val="TableContents"/>
              <w:bidi w:val="0"/>
              <w:spacing w:before="0" w:after="283"/>
              <w:jc w:val="left"/>
              <w:rPr/>
            </w:pPr>
            <w:r>
              <w:rPr/>
              <w:t> </w:t>
            </w:r>
          </w:p>
        </w:tc>
      </w:tr>
      <w:tr>
        <w:trPr/>
        <w:tc>
          <w:tcPr>
            <w:tcW w:w="6269"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Vishal Kapoor</w:t>
            </w:r>
            <w:r>
              <w:rPr>
                <w:rFonts w:ascii="Times New Roman;Times;Serif" w:hAnsi="Times New Roman;Times;Serif"/>
                <w:position w:val="8"/>
                <w:sz w:val="19"/>
              </w:rPr>
              <w:t>(17)</w:t>
            </w:r>
          </w:p>
        </w:tc>
        <w:tc>
          <w:tcPr>
            <w:tcW w:w="90" w:type="dxa"/>
            <w:tcBorders/>
            <w:tcMar>
              <w:bottom w:w="0" w:type="dxa"/>
            </w:tcMar>
            <w:vAlign w:val="center"/>
          </w:tcPr>
          <w:p>
            <w:pPr>
              <w:pStyle w:val="TableContents"/>
              <w:bidi w:val="0"/>
              <w:spacing w:before="0" w:after="283"/>
              <w:jc w:val="left"/>
              <w:rPr/>
            </w:pPr>
            <w:r>
              <w:rPr/>
              <w:t> </w:t>
            </w:r>
          </w:p>
        </w:tc>
        <w:tc>
          <w:tcPr>
            <w:tcW w:w="147"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right"/>
              <w:rPr/>
            </w:pPr>
            <w:r>
              <w:rPr/>
              <w:t>27,513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2" w:type="dxa"/>
            <w:tcBorders/>
            <w:tcMar>
              <w:bottom w:w="0" w:type="dxa"/>
            </w:tcMar>
            <w:vAlign w:val="center"/>
          </w:tcPr>
          <w:p>
            <w:pPr>
              <w:pStyle w:val="TableContents"/>
              <w:bidi w:val="0"/>
              <w:spacing w:before="0" w:after="283"/>
              <w:jc w:val="left"/>
              <w:rPr/>
            </w:pPr>
            <w:r>
              <w:rPr/>
              <w:t> </w:t>
            </w:r>
          </w:p>
        </w:tc>
        <w:tc>
          <w:tcPr>
            <w:tcW w:w="132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92" w:type="dxa"/>
            <w:tcBorders/>
            <w:tcMar>
              <w:bottom w:w="0" w:type="dxa"/>
            </w:tcMar>
            <w:vAlign w:val="center"/>
          </w:tcPr>
          <w:p>
            <w:pPr>
              <w:pStyle w:val="TableContents"/>
              <w:bidi w:val="0"/>
              <w:spacing w:before="0" w:after="283"/>
              <w:jc w:val="left"/>
              <w:rPr/>
            </w:pPr>
            <w:r>
              <w:rPr/>
              <w:t> </w:t>
            </w:r>
          </w:p>
        </w:tc>
      </w:tr>
      <w:tr>
        <w:trPr/>
        <w:tc>
          <w:tcPr>
            <w:tcW w:w="6269"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All current directors and executive officers as a group (9 persons)</w:t>
            </w:r>
            <w:r>
              <w:rPr>
                <w:rFonts w:ascii="Times New Roman;Times;Serif" w:hAnsi="Times New Roman;Times;Serif"/>
                <w:b/>
                <w:position w:val="8"/>
                <w:sz w:val="19"/>
              </w:rPr>
              <w:t>(18)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right"/>
              <w:rPr/>
            </w:pPr>
            <w:r>
              <w:rPr/>
              <w:t>560,043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1320" w:type="dxa"/>
            <w:tcBorders/>
            <w:shd w:fill="CCEEFF" w:val="clear"/>
            <w:tcMar>
              <w:bottom w:w="0" w:type="dxa"/>
            </w:tcMar>
            <w:vAlign w:val="center"/>
          </w:tcPr>
          <w:p>
            <w:pPr>
              <w:pStyle w:val="TableContents"/>
              <w:bidi w:val="0"/>
              <w:spacing w:before="0" w:after="283"/>
              <w:jc w:val="right"/>
              <w:rPr/>
            </w:pPr>
            <w:r>
              <w:rPr/>
              <w:t>2.0</w:t>
            </w:r>
          </w:p>
        </w:tc>
        <w:tc>
          <w:tcPr>
            <w:tcW w:w="29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3198" w:type="dxa"/>
        <w:jc w:val="left"/>
        <w:tblInd w:w="0" w:type="dxa"/>
        <w:tblLayout w:type="fixed"/>
        <w:tblCellMar>
          <w:top w:w="0" w:type="dxa"/>
          <w:left w:w="0" w:type="dxa"/>
          <w:bottom w:w="0" w:type="dxa"/>
          <w:right w:w="0" w:type="dxa"/>
        </w:tblCellMar>
      </w:tblPr>
      <w:tblGrid>
        <w:gridCol w:w="68"/>
        <w:gridCol w:w="170"/>
        <w:gridCol w:w="296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283"/>
              <w:jc w:val="both"/>
              <w:rPr/>
            </w:pPr>
            <w:r>
              <w:rPr/>
              <w:t>Denotes less than one percent.</w:t>
            </w:r>
          </w:p>
        </w:tc>
      </w:tr>
    </w:tbl>
    <w:tbl>
      <w:tblPr>
        <w:tblW w:w="10205" w:type="dxa"/>
        <w:jc w:val="left"/>
        <w:tblInd w:w="0" w:type="dxa"/>
        <w:tblLayout w:type="fixed"/>
        <w:tblCellMar>
          <w:top w:w="0" w:type="dxa"/>
          <w:left w:w="0" w:type="dxa"/>
          <w:bottom w:w="0" w:type="dxa"/>
          <w:right w:w="0" w:type="dxa"/>
        </w:tblCellMar>
      </w:tblPr>
      <w:tblGrid>
        <w:gridCol w:w="68"/>
        <w:gridCol w:w="250"/>
        <w:gridCol w:w="9887"/>
      </w:tblGrid>
      <w:tr>
        <w:trPr/>
        <w:tc>
          <w:tcPr>
            <w:tcW w:w="6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(1)</w:t>
            </w:r>
          </w:p>
        </w:tc>
        <w:tc>
          <w:tcPr>
            <w:tcW w:w="9887" w:type="dxa"/>
            <w:tcBorders/>
            <w:vAlign w:val="center"/>
          </w:tcPr>
          <w:p>
            <w:pPr>
              <w:pStyle w:val="TableContents"/>
              <w:bidi w:val="0"/>
              <w:spacing w:before="0" w:after="283"/>
              <w:jc w:val="both"/>
              <w:rPr/>
            </w:pPr>
            <w:r>
              <w:rPr/>
              <w:t>Consists of an aggregate of 1,486,492 shares held by Acorn Bioventures, L.P., Acorn Capital Advisors GP, LLC, Acorn Bioventures 2, L.P., Acorn Capital Advisors GP 2, LLC and Anders Hove. Acorn Capital Advisors GP, LLC is the General Partner of Acorn Bioventures, L.P. and may be deemed to beneficially own the shares of Common Stock beneficially owned by Acorn Bioventures, L.P. Acorn Capital Advisors GP 2, LLC is the General Partner of Acorn Bioventures 2, L.P. and may be deemed to beneficially own the shares of Common Stock beneficially owned by Acorn Bioventures 2, L.P. Anders Hove, in his capacity as Manager of each of Acorn Capital Advisors GP, LLC and Acorn Capital Advisors GP 2, LLC, may be deemed to beneficially own the shares beneficially owned by each of Acorn Capital Advisors GP, LLC and Acorn Capital Advisors GP 2, LLC. Information in this footnote is based solely on a Schedule 13G/A jointly filed by Acorn Bioventures, L.P., Acorn Capital Advisors GP, LLC, Acorn Bioventures 2, L.P., Acorn Capital Advisors GP2, LLC and Anders Hove filed on January 26, 2026.</w:t>
            </w:r>
          </w:p>
        </w:tc>
      </w:tr>
    </w:tbl>
    <w:tbl>
      <w:tblPr>
        <w:tblW w:w="10205" w:type="dxa"/>
        <w:jc w:val="left"/>
        <w:tblInd w:w="0" w:type="dxa"/>
        <w:tblLayout w:type="fixed"/>
        <w:tblCellMar>
          <w:top w:w="0" w:type="dxa"/>
          <w:left w:w="0" w:type="dxa"/>
          <w:bottom w:w="0" w:type="dxa"/>
          <w:right w:w="0" w:type="dxa"/>
        </w:tblCellMar>
      </w:tblPr>
      <w:tblGrid>
        <w:gridCol w:w="68"/>
        <w:gridCol w:w="249"/>
        <w:gridCol w:w="9888"/>
      </w:tblGrid>
      <w:tr>
        <w:trPr/>
        <w:tc>
          <w:tcPr>
            <w:tcW w:w="6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(2)</w:t>
            </w:r>
          </w:p>
        </w:tc>
        <w:tc>
          <w:tcPr>
            <w:tcW w:w="9888" w:type="dxa"/>
            <w:tcBorders/>
            <w:vAlign w:val="center"/>
          </w:tcPr>
          <w:p>
            <w:pPr>
              <w:pStyle w:val="TableContents"/>
              <w:bidi w:val="0"/>
              <w:spacing w:before="0" w:after="283"/>
              <w:jc w:val="both"/>
              <w:rPr/>
            </w:pPr>
            <w:r>
              <w:rPr/>
              <w:t>Integrated Core Strategies (US) LLC has shared voting and dispositive power over 1,624,076 shares, and Millenium Management LLC, Millennium Group Management LLC and Israel A. Englander have shared voting and dispositive power over 1,629,013 shares.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 The address for each of these entities and individual is c/o Millennium Management LLC, 399 Park Avenue New York, New York 10022. Information in this footnote is based solely on a Schedule 13G jointly filed by Integrated Core Strategies (US) LLC, Millenium Management LLC, Millennium Group Management LLC and Israel A. Englander on February 25, 2026.</w:t>
            </w:r>
          </w:p>
        </w:tc>
      </w:tr>
    </w:tbl>
    <w:tbl>
      <w:tblPr>
        <w:tblW w:w="10205" w:type="dxa"/>
        <w:jc w:val="left"/>
        <w:tblInd w:w="0" w:type="dxa"/>
        <w:tblLayout w:type="fixed"/>
        <w:tblCellMar>
          <w:top w:w="0" w:type="dxa"/>
          <w:left w:w="0" w:type="dxa"/>
          <w:bottom w:w="0" w:type="dxa"/>
          <w:right w:w="0" w:type="dxa"/>
        </w:tblCellMar>
      </w:tblPr>
      <w:tblGrid>
        <w:gridCol w:w="68"/>
        <w:gridCol w:w="253"/>
        <w:gridCol w:w="9884"/>
      </w:tblGrid>
      <w:tr>
        <w:trPr/>
        <w:tc>
          <w:tcPr>
            <w:tcW w:w="6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(3)</w:t>
            </w:r>
          </w:p>
        </w:tc>
        <w:tc>
          <w:tcPr>
            <w:tcW w:w="9884" w:type="dxa"/>
            <w:tcBorders/>
            <w:vAlign w:val="center"/>
          </w:tcPr>
          <w:p>
            <w:pPr>
              <w:pStyle w:val="TableContents"/>
              <w:bidi w:val="0"/>
              <w:spacing w:before="0" w:after="283"/>
              <w:jc w:val="both"/>
              <w:rPr/>
            </w:pPr>
            <w:r>
              <w:rPr/>
              <w:t>The Goldman Sachs Group, Inc. (“GS Group”) and Goldman Sachs &amp; Co. LLC (“Goldman Sachs”) have shared voting and dispositive power over 1,764,848 shares. The securities over which GS Group, as a parent holding company, has shared voting and dispositive power over are owned, or may be deemed to be beneficially owned, by Goldman Sachs, a broker or dealer registered under Section 15 of the Securities Act of 1933, as amended, and an investment adviser registered under Section 203 of the Investment Advisers Act of 1940, as amended. Goldman Sachs is a subsidiary of GS Group. The address for GS Group and Goldman Sachs is 200 West Street New York, NY 10282. Information in this footnote is based solely on a Schedule 13G jointly filed by GS Group and Goldman Sachs on February 12, 2026.</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4"/>
        <w:gridCol w:w="9883"/>
      </w:tblGrid>
      <w:tr>
        <w:trPr/>
        <w:tc>
          <w:tcPr>
            <w:tcW w:w="6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(4)</w:t>
            </w:r>
          </w:p>
        </w:tc>
        <w:tc>
          <w:tcPr>
            <w:tcW w:w="9883" w:type="dxa"/>
            <w:tcBorders/>
            <w:vAlign w:val="center"/>
          </w:tcPr>
          <w:p>
            <w:pPr>
              <w:pStyle w:val="TableContents"/>
              <w:bidi w:val="0"/>
              <w:spacing w:before="0" w:after="283"/>
              <w:jc w:val="both"/>
              <w:rPr/>
            </w:pPr>
            <w:r>
              <w:rPr/>
              <w:t>Morgan Stanley has shared voting and dispositive power over 1,969,585 shares, and Morgan Stanley Capital Services LLC has shared voting and dispositive power over 1,903,420 shares. The securities over which Morgan Stanley as a parent holding company has shared voting and dispositive power over are owned, or may be deemed to be beneficially owned, by Morgan Stanley Capital Services LLC, a wholly-owned subsidiary of Morgan Stanley. The address for Morgan Stanley and Morgan Stanley Capital Services LLC is 1585 Broadway, New York, NY 10036. Information in this footnote is based solely on a Schedule 13G jointly filed by Morgan Stanley and Morgan Stanley Capital Services LLC on February 11, 2026.</w:t>
            </w:r>
          </w:p>
        </w:tc>
      </w:tr>
    </w:tbl>
    <w:tbl>
      <w:tblPr>
        <w:tblW w:w="10205" w:type="dxa"/>
        <w:jc w:val="left"/>
        <w:tblInd w:w="0" w:type="dxa"/>
        <w:tblLayout w:type="fixed"/>
        <w:tblCellMar>
          <w:top w:w="0" w:type="dxa"/>
          <w:left w:w="0" w:type="dxa"/>
          <w:bottom w:w="0" w:type="dxa"/>
          <w:right w:w="0" w:type="dxa"/>
        </w:tblCellMar>
      </w:tblPr>
      <w:tblGrid>
        <w:gridCol w:w="68"/>
        <w:gridCol w:w="273"/>
        <w:gridCol w:w="9864"/>
      </w:tblGrid>
      <w:tr>
        <w:trPr/>
        <w:tc>
          <w:tcPr>
            <w:tcW w:w="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(5)</w:t>
            </w:r>
          </w:p>
        </w:tc>
        <w:tc>
          <w:tcPr>
            <w:tcW w:w="9864" w:type="dxa"/>
            <w:tcBorders/>
            <w:vAlign w:val="center"/>
          </w:tcPr>
          <w:p>
            <w:pPr>
              <w:pStyle w:val="TableContents"/>
              <w:bidi w:val="0"/>
              <w:spacing w:before="0" w:after="283"/>
              <w:jc w:val="both"/>
              <w:rPr/>
            </w:pPr>
            <w:r>
              <w:rPr/>
              <w:t>The shares reported herein are held by T. Rowe Price Investment Management, Inc. The address for this entity is 1307 Point Street, Baltimore, MD 21231. Information in this footnote is based solely on a Schedule 13G filed on November 14, 2025.</w:t>
            </w:r>
          </w:p>
        </w:tc>
      </w:tr>
    </w:tbl>
    <w:tbl>
      <w:tblPr>
        <w:tblW w:w="10205" w:type="dxa"/>
        <w:jc w:val="left"/>
        <w:tblInd w:w="0" w:type="dxa"/>
        <w:tblLayout w:type="fixed"/>
        <w:tblCellMar>
          <w:top w:w="0" w:type="dxa"/>
          <w:left w:w="0" w:type="dxa"/>
          <w:bottom w:w="0" w:type="dxa"/>
          <w:right w:w="0" w:type="dxa"/>
        </w:tblCellMar>
      </w:tblPr>
      <w:tblGrid>
        <w:gridCol w:w="68"/>
        <w:gridCol w:w="246"/>
        <w:gridCol w:w="9891"/>
      </w:tblGrid>
      <w:tr>
        <w:trPr/>
        <w:tc>
          <w:tcPr>
            <w:tcW w:w="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(6)</w:t>
            </w:r>
          </w:p>
        </w:tc>
        <w:tc>
          <w:tcPr>
            <w:tcW w:w="9891" w:type="dxa"/>
            <w:tcBorders/>
            <w:vAlign w:val="center"/>
          </w:tcPr>
          <w:p>
            <w:pPr>
              <w:pStyle w:val="TableContents"/>
              <w:bidi w:val="0"/>
              <w:spacing w:before="0" w:after="283"/>
              <w:jc w:val="both"/>
              <w:rPr/>
            </w:pPr>
            <w:r>
              <w:rPr/>
              <w:t>Consists of: (i) 2,381,915 shares directly beneficially owned by Velan Capital Master Fund LP (“Velan Master”), (ii) 41,152 shares directly beneficially owned by Velan Horizon Fund LP (“Velan Horizon”), (iii) 283,403 shares directly beneficially owned by Avego Healthcare Capital, L.P. (“Avego Fund”), and (iv) an aggregate of up to 142,747 shares issuable upon exercise of common warrants held by Velan Master and Velan Horizon that are exercisable within 60 days of March 31, 2026 (“Common Warrants”). Excludes an aggregate of 1,091,820 shares of common stock issuable upon exercise of the Common Warrants as the Common Warrants that are that are exercisable within 60 days of March 31, 2026 but are subject to a 9.99% beneficial ownership blocker provision. Velan Capital Holdings LLC (“Velan GP”), as the general partner of Velan Master, may be deemed to beneficially own the 2,381,915 shares and Common Warrants owned by Velan Master. Velan Horizon GP LLC (“Velan Horizon GP”), as the general partner of Velan Horizon, may be deemed to beneficially own the 41,152 shares and Common Warrants owned by Velan Horizon. Avego Healthcare Capital Holdings, LLC (“Avego GP”), as the general partner of Avego Fund, may be deemed to beneficially own the 283,403 shares beneficially owned by Avego Fund. Avego Management, LLC (“Avego Management”), as the co-investment manager of Avego Fund, may be deemed to beneficially own the 283,403 shares beneficially owned by Avego Fund. Velan Capital Investment Management LP (“Velan Capital”), as the investment manager of each of Velan Master and Velan Horizon and co-investment manager of Avego Fund, may be deemed to beneficially own the 2,668,395 shares and Common Warrants beneficially owned in the aggregate by Velan Master, Velan Horizon and Avego Fund. Velan Capital Management LLC (“Velan IM GP”), as the general partner of Velan Capital, may be deemed to beneficially own the 2,668,395 shares and Common Warrants beneficially owned in the aggregate by Velan Master, Velan Horizon and Avego Fund. Adam Morgan, as a Managing Member of each of Velan GP and Velan IM GP, may be deemed to beneficially own the 2,668,395 shares and Common Warrants beneficially owned in the aggregate by Velan Master, Velan Horizon and Avego Fund. Balaji Venkataraman, as the Managing Member of each of Avego GP and Avego Management and a Managing Member of each of Velan GP and Velan IM GP, may be deemed to beneficially own the 2,668,395 shares and Common Warrants beneficially owned in the aggregate by Velan Master, Velan Horizon and Avego Fund. Each of Velan Master, Velan Horizon, Avego Fund, Velan GP, Velan Horizon GP, Avego GP, Avego Management, Velan Capital, Velan IM GP, Mr. Morgan and Mr. Venkataraman disclaims beneficial ownership of the securities reported herein that he or it does not directly own. Mr. Kapoor is a partner at Avego Management and is on our Board. The address for each of these entities and individuals is 1055b Powers Place, Alpharetta, Georgia 30009. Information in this footnote is based solely on a Schedule 13D/A jointly filed by Velan Master, Velan Horizon, Avego Fund, Velan GP, Velan Horizon GP, Avego GP, Avego Management, Velan Capital, Velan IM GP, Mr. Morgan, Mr. Venkataraman and Mr. Kapoor on September 23, 2025.</w:t>
            </w:r>
          </w:p>
        </w:tc>
      </w:tr>
    </w:tbl>
    <w:tbl>
      <w:tblPr>
        <w:tblW w:w="10205" w:type="dxa"/>
        <w:jc w:val="left"/>
        <w:tblInd w:w="0" w:type="dxa"/>
        <w:tblLayout w:type="fixed"/>
        <w:tblCellMar>
          <w:top w:w="0" w:type="dxa"/>
          <w:left w:w="0" w:type="dxa"/>
          <w:bottom w:w="0" w:type="dxa"/>
          <w:right w:w="0" w:type="dxa"/>
        </w:tblCellMar>
      </w:tblPr>
      <w:tblGrid>
        <w:gridCol w:w="68"/>
        <w:gridCol w:w="295"/>
        <w:gridCol w:w="9842"/>
      </w:tblGrid>
      <w:tr>
        <w:trPr/>
        <w:tc>
          <w:tcPr>
            <w:tcW w:w="6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(7)</w:t>
            </w:r>
          </w:p>
        </w:tc>
        <w:tc>
          <w:tcPr>
            <w:tcW w:w="9842" w:type="dxa"/>
            <w:tcBorders/>
            <w:vAlign w:val="center"/>
          </w:tcPr>
          <w:p>
            <w:pPr>
              <w:pStyle w:val="TableContents"/>
              <w:bidi w:val="0"/>
              <w:spacing w:before="0" w:after="283"/>
              <w:jc w:val="both"/>
              <w:rPr/>
            </w:pPr>
            <w:r>
              <w:rPr/>
              <w:t>Consists of (i) 25,009 shares held directly, and (ii) 93,918 shares issuable upon exercise of options exercisable within 60 days of March 31, 2026.</w:t>
            </w:r>
          </w:p>
        </w:tc>
      </w:tr>
    </w:tbl>
    <w:tbl>
      <w:tblPr>
        <w:tblW w:w="10205" w:type="dxa"/>
        <w:jc w:val="left"/>
        <w:tblInd w:w="0" w:type="dxa"/>
        <w:tblLayout w:type="fixed"/>
        <w:tblCellMar>
          <w:top w:w="0" w:type="dxa"/>
          <w:left w:w="0" w:type="dxa"/>
          <w:bottom w:w="0" w:type="dxa"/>
          <w:right w:w="0" w:type="dxa"/>
        </w:tblCellMar>
      </w:tblPr>
      <w:tblGrid>
        <w:gridCol w:w="68"/>
        <w:gridCol w:w="317"/>
        <w:gridCol w:w="9820"/>
      </w:tblGrid>
      <w:tr>
        <w:trPr/>
        <w:tc>
          <w:tcPr>
            <w:tcW w:w="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(8)</w:t>
            </w:r>
          </w:p>
        </w:tc>
        <w:tc>
          <w:tcPr>
            <w:tcW w:w="9820" w:type="dxa"/>
            <w:tcBorders/>
            <w:vAlign w:val="center"/>
          </w:tcPr>
          <w:p>
            <w:pPr>
              <w:pStyle w:val="TableContents"/>
              <w:bidi w:val="0"/>
              <w:spacing w:before="0" w:after="283"/>
              <w:jc w:val="both"/>
              <w:rPr/>
            </w:pPr>
            <w:r>
              <w:rPr/>
              <w:t>Consists of 74,791 shares issuable upon exercise of options exercisable within 60 days of March 31, 2026.</w:t>
            </w:r>
          </w:p>
        </w:tc>
      </w:tr>
    </w:tbl>
    <w:tbl>
      <w:tblPr>
        <w:tblW w:w="10205" w:type="dxa"/>
        <w:jc w:val="left"/>
        <w:tblInd w:w="0" w:type="dxa"/>
        <w:tblLayout w:type="fixed"/>
        <w:tblCellMar>
          <w:top w:w="0" w:type="dxa"/>
          <w:left w:w="0" w:type="dxa"/>
          <w:bottom w:w="0" w:type="dxa"/>
          <w:right w:w="0" w:type="dxa"/>
        </w:tblCellMar>
      </w:tblPr>
      <w:tblGrid>
        <w:gridCol w:w="68"/>
        <w:gridCol w:w="278"/>
        <w:gridCol w:w="9859"/>
      </w:tblGrid>
      <w:tr>
        <w:trPr/>
        <w:tc>
          <w:tcPr>
            <w:tcW w:w="6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(9)</w:t>
            </w:r>
          </w:p>
        </w:tc>
        <w:tc>
          <w:tcPr>
            <w:tcW w:w="9859" w:type="dxa"/>
            <w:tcBorders/>
            <w:vAlign w:val="center"/>
          </w:tcPr>
          <w:p>
            <w:pPr>
              <w:pStyle w:val="TableContents"/>
              <w:bidi w:val="0"/>
              <w:spacing w:before="0" w:after="283"/>
              <w:jc w:val="both"/>
              <w:rPr/>
            </w:pPr>
            <w:r>
              <w:rPr/>
              <w:t>Mr. Martell’s employment with us terminated effective January 5, 2026. Consists of (i) 74,118 shares held directly, and (ii) 324,533 shares issuable upon exercise of options exercisable within 60 days of March 31, 2026.</w:t>
            </w:r>
          </w:p>
        </w:tc>
      </w:tr>
    </w:tbl>
    <w:tbl>
      <w:tblPr>
        <w:tblW w:w="10205" w:type="dxa"/>
        <w:jc w:val="left"/>
        <w:tblInd w:w="0" w:type="dxa"/>
        <w:tblLayout w:type="fixed"/>
        <w:tblCellMar>
          <w:top w:w="0" w:type="dxa"/>
          <w:left w:w="0" w:type="dxa"/>
          <w:bottom w:w="0" w:type="dxa"/>
          <w:right w:w="0" w:type="dxa"/>
        </w:tblCellMar>
      </w:tblPr>
      <w:tblGrid>
        <w:gridCol w:w="68"/>
        <w:gridCol w:w="429"/>
        <w:gridCol w:w="9708"/>
      </w:tblGrid>
      <w:tr>
        <w:trPr/>
        <w:tc>
          <w:tcPr>
            <w:tcW w:w="6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pPr>
            <w:r>
              <w:rPr/>
              <w:t>(10)</w:t>
            </w:r>
          </w:p>
        </w:tc>
        <w:tc>
          <w:tcPr>
            <w:tcW w:w="9708" w:type="dxa"/>
            <w:tcBorders/>
            <w:vAlign w:val="center"/>
          </w:tcPr>
          <w:p>
            <w:pPr>
              <w:pStyle w:val="TableContents"/>
              <w:bidi w:val="0"/>
              <w:spacing w:before="0" w:after="283"/>
              <w:jc w:val="both"/>
              <w:rPr/>
            </w:pPr>
            <w:r>
              <w:rPr/>
              <w:t>Dr. Tucker’s employment with us terminated effective August 1, 2025. Consists solely of 1,540 shares held directly.</w:t>
            </w:r>
          </w:p>
        </w:tc>
      </w:tr>
    </w:tbl>
    <w:tbl>
      <w:tblPr>
        <w:tblW w:w="10205" w:type="dxa"/>
        <w:jc w:val="left"/>
        <w:tblInd w:w="0" w:type="dxa"/>
        <w:tblLayout w:type="fixed"/>
        <w:tblCellMar>
          <w:top w:w="0" w:type="dxa"/>
          <w:left w:w="0" w:type="dxa"/>
          <w:bottom w:w="0" w:type="dxa"/>
          <w:right w:w="0" w:type="dxa"/>
        </w:tblCellMar>
      </w:tblPr>
      <w:tblGrid>
        <w:gridCol w:w="68"/>
        <w:gridCol w:w="415"/>
        <w:gridCol w:w="9722"/>
      </w:tblGrid>
      <w:tr>
        <w:trPr/>
        <w:tc>
          <w:tcPr>
            <w:tcW w:w="6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pPr>
            <w:r>
              <w:rPr/>
              <w:t>(11)</w:t>
            </w:r>
          </w:p>
        </w:tc>
        <w:tc>
          <w:tcPr>
            <w:tcW w:w="9722" w:type="dxa"/>
            <w:tcBorders/>
            <w:vAlign w:val="center"/>
          </w:tcPr>
          <w:p>
            <w:pPr>
              <w:pStyle w:val="TableContents"/>
              <w:bidi w:val="0"/>
              <w:spacing w:before="0" w:after="283"/>
              <w:jc w:val="both"/>
              <w:rPr/>
            </w:pPr>
            <w:r>
              <w:rPr/>
              <w:t>Consists of (i) 20,000 shares held directly, and (ii) 7,187 shares issuable upon exercise of options exercisable within 60 days of March 31, 2026.</w:t>
            </w:r>
          </w:p>
        </w:tc>
      </w:tr>
    </w:tbl>
    <w:tbl>
      <w:tblPr>
        <w:tblW w:w="10205" w:type="dxa"/>
        <w:jc w:val="left"/>
        <w:tblInd w:w="0" w:type="dxa"/>
        <w:tblLayout w:type="fixed"/>
        <w:tblCellMar>
          <w:top w:w="0" w:type="dxa"/>
          <w:left w:w="0" w:type="dxa"/>
          <w:bottom w:w="0" w:type="dxa"/>
          <w:right w:w="0" w:type="dxa"/>
        </w:tblCellMar>
      </w:tblPr>
      <w:tblGrid>
        <w:gridCol w:w="68"/>
        <w:gridCol w:w="436"/>
        <w:gridCol w:w="9701"/>
      </w:tblGrid>
      <w:tr>
        <w:trPr/>
        <w:tc>
          <w:tcPr>
            <w:tcW w:w="6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pPr>
            <w:r>
              <w:rPr/>
              <w:t>(12)</w:t>
            </w:r>
          </w:p>
        </w:tc>
        <w:tc>
          <w:tcPr>
            <w:tcW w:w="9701" w:type="dxa"/>
            <w:tcBorders/>
            <w:vAlign w:val="center"/>
          </w:tcPr>
          <w:p>
            <w:pPr>
              <w:pStyle w:val="TableContents"/>
              <w:bidi w:val="0"/>
              <w:spacing w:before="0" w:after="283"/>
              <w:jc w:val="both"/>
              <w:rPr/>
            </w:pPr>
            <w:r>
              <w:rPr/>
              <w:t>Consists of 14,354 shares issuable upon exercise of options exercisable within 60 days of March 31, 2026.</w:t>
            </w:r>
          </w:p>
        </w:tc>
      </w:tr>
    </w:tbl>
    <w:tbl>
      <w:tblPr>
        <w:tblW w:w="10205" w:type="dxa"/>
        <w:jc w:val="left"/>
        <w:tblInd w:w="0" w:type="dxa"/>
        <w:tblLayout w:type="fixed"/>
        <w:tblCellMar>
          <w:top w:w="0" w:type="dxa"/>
          <w:left w:w="0" w:type="dxa"/>
          <w:bottom w:w="0" w:type="dxa"/>
          <w:right w:w="0" w:type="dxa"/>
        </w:tblCellMar>
      </w:tblPr>
      <w:tblGrid>
        <w:gridCol w:w="68"/>
        <w:gridCol w:w="414"/>
        <w:gridCol w:w="9723"/>
      </w:tblGrid>
      <w:tr>
        <w:trPr/>
        <w:tc>
          <w:tcPr>
            <w:tcW w:w="6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pPr>
            <w:r>
              <w:rPr/>
              <w:t>(13)</w:t>
            </w:r>
          </w:p>
        </w:tc>
        <w:tc>
          <w:tcPr>
            <w:tcW w:w="9723" w:type="dxa"/>
            <w:tcBorders/>
            <w:vAlign w:val="center"/>
          </w:tcPr>
          <w:p>
            <w:pPr>
              <w:pStyle w:val="TableContents"/>
              <w:bidi w:val="0"/>
              <w:spacing w:before="0" w:after="283"/>
              <w:jc w:val="both"/>
              <w:rPr/>
            </w:pPr>
            <w:r>
              <w:rPr/>
              <w:t>Consists of (i) 46,000 shares held directly, and (ii) 14,375 shares issuable upon exercise of options exercisable within 60 days of March 31, 2026.</w:t>
            </w:r>
          </w:p>
        </w:tc>
      </w:tr>
    </w:tbl>
    <w:tbl>
      <w:tblPr>
        <w:tblW w:w="10205" w:type="dxa"/>
        <w:jc w:val="left"/>
        <w:tblInd w:w="0" w:type="dxa"/>
        <w:tblLayout w:type="fixed"/>
        <w:tblCellMar>
          <w:top w:w="0" w:type="dxa"/>
          <w:left w:w="0" w:type="dxa"/>
          <w:bottom w:w="0" w:type="dxa"/>
          <w:right w:w="0" w:type="dxa"/>
        </w:tblCellMar>
      </w:tblPr>
      <w:tblGrid>
        <w:gridCol w:w="68"/>
        <w:gridCol w:w="415"/>
        <w:gridCol w:w="9722"/>
      </w:tblGrid>
      <w:tr>
        <w:trPr/>
        <w:tc>
          <w:tcPr>
            <w:tcW w:w="6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pPr>
            <w:r>
              <w:rPr/>
              <w:t>(14)</w:t>
            </w:r>
          </w:p>
        </w:tc>
        <w:tc>
          <w:tcPr>
            <w:tcW w:w="9722" w:type="dxa"/>
            <w:tcBorders/>
            <w:vAlign w:val="center"/>
          </w:tcPr>
          <w:p>
            <w:pPr>
              <w:pStyle w:val="TableContents"/>
              <w:bidi w:val="0"/>
              <w:spacing w:before="0" w:after="283"/>
              <w:jc w:val="both"/>
              <w:rPr/>
            </w:pPr>
            <w:r>
              <w:rPr/>
              <w:t>Consists of (i) 3,250 shares held directly, and (ii) 20,004 shares issuable upon exercise of options exercisable within 60 days of March 31, 2026.</w:t>
            </w:r>
          </w:p>
        </w:tc>
      </w:tr>
    </w:tbl>
    <w:tbl>
      <w:tblPr>
        <w:tblW w:w="10205" w:type="dxa"/>
        <w:jc w:val="left"/>
        <w:tblInd w:w="0" w:type="dxa"/>
        <w:tblLayout w:type="fixed"/>
        <w:tblCellMar>
          <w:top w:w="0" w:type="dxa"/>
          <w:left w:w="0" w:type="dxa"/>
          <w:bottom w:w="0" w:type="dxa"/>
          <w:right w:w="0" w:type="dxa"/>
        </w:tblCellMar>
      </w:tblPr>
      <w:tblGrid>
        <w:gridCol w:w="68"/>
        <w:gridCol w:w="413"/>
        <w:gridCol w:w="9724"/>
      </w:tblGrid>
      <w:tr>
        <w:trPr/>
        <w:tc>
          <w:tcPr>
            <w:tcW w:w="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pPr>
            <w:r>
              <w:rPr/>
              <w:t>(15)</w:t>
            </w:r>
          </w:p>
        </w:tc>
        <w:tc>
          <w:tcPr>
            <w:tcW w:w="9724" w:type="dxa"/>
            <w:tcBorders/>
            <w:vAlign w:val="center"/>
          </w:tcPr>
          <w:p>
            <w:pPr>
              <w:pStyle w:val="TableContents"/>
              <w:bidi w:val="0"/>
              <w:spacing w:before="0" w:after="283"/>
              <w:jc w:val="both"/>
              <w:rPr/>
            </w:pPr>
            <w:r>
              <w:rPr/>
              <w:t>Consists of (i)  156,901 shares held directly, and (ii) 34,620 shares issuable upon exercise of options exercisable within 60 days of March 31, 2026.</w:t>
            </w:r>
          </w:p>
        </w:tc>
      </w:tr>
    </w:tbl>
    <w:tbl>
      <w:tblPr>
        <w:tblW w:w="10205" w:type="dxa"/>
        <w:jc w:val="left"/>
        <w:tblInd w:w="0" w:type="dxa"/>
        <w:tblLayout w:type="fixed"/>
        <w:tblCellMar>
          <w:top w:w="0" w:type="dxa"/>
          <w:left w:w="0" w:type="dxa"/>
          <w:bottom w:w="0" w:type="dxa"/>
          <w:right w:w="0" w:type="dxa"/>
        </w:tblCellMar>
      </w:tblPr>
      <w:tblGrid>
        <w:gridCol w:w="68"/>
        <w:gridCol w:w="415"/>
        <w:gridCol w:w="9722"/>
      </w:tblGrid>
      <w:tr>
        <w:trPr/>
        <w:tc>
          <w:tcPr>
            <w:tcW w:w="6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pPr>
            <w:r>
              <w:rPr/>
              <w:t>(16)</w:t>
            </w:r>
          </w:p>
        </w:tc>
        <w:tc>
          <w:tcPr>
            <w:tcW w:w="9722" w:type="dxa"/>
            <w:tcBorders/>
            <w:vAlign w:val="center"/>
          </w:tcPr>
          <w:p>
            <w:pPr>
              <w:pStyle w:val="TableContents"/>
              <w:bidi w:val="0"/>
              <w:spacing w:before="0" w:after="283"/>
              <w:jc w:val="both"/>
              <w:rPr/>
            </w:pPr>
            <w:r>
              <w:rPr/>
              <w:t>Consists of (i) 2,117 shares held directly, and (ii) 20,004 shares issuable upon exercise of options exercisable within 60 days of March 31, 2026.</w:t>
            </w:r>
          </w:p>
        </w:tc>
      </w:tr>
    </w:tbl>
    <w:tbl>
      <w:tblPr>
        <w:tblW w:w="10205" w:type="dxa"/>
        <w:jc w:val="left"/>
        <w:tblInd w:w="0" w:type="dxa"/>
        <w:tblLayout w:type="fixed"/>
        <w:tblCellMar>
          <w:top w:w="0" w:type="dxa"/>
          <w:left w:w="0" w:type="dxa"/>
          <w:bottom w:w="0" w:type="dxa"/>
          <w:right w:w="0" w:type="dxa"/>
        </w:tblCellMar>
      </w:tblPr>
      <w:tblGrid>
        <w:gridCol w:w="68"/>
        <w:gridCol w:w="415"/>
        <w:gridCol w:w="9722"/>
      </w:tblGrid>
      <w:tr>
        <w:trPr/>
        <w:tc>
          <w:tcPr>
            <w:tcW w:w="6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pPr>
            <w:r>
              <w:rPr/>
              <w:t>(17)</w:t>
            </w:r>
          </w:p>
        </w:tc>
        <w:tc>
          <w:tcPr>
            <w:tcW w:w="9722" w:type="dxa"/>
            <w:tcBorders/>
            <w:vAlign w:val="center"/>
          </w:tcPr>
          <w:p>
            <w:pPr>
              <w:pStyle w:val="TableContents"/>
              <w:bidi w:val="0"/>
              <w:spacing w:before="0" w:after="283"/>
              <w:jc w:val="both"/>
              <w:rPr/>
            </w:pPr>
            <w:r>
              <w:rPr/>
              <w:t>Consists of (i) 4,375 shares held directly, and (ii) 23,138 shares issuable upon exercise of options exercisable within 60 days of March 31, 2026.</w:t>
            </w:r>
          </w:p>
        </w:tc>
      </w:tr>
    </w:tbl>
    <w:tbl>
      <w:tblPr>
        <w:tblW w:w="10205" w:type="dxa"/>
        <w:jc w:val="left"/>
        <w:tblInd w:w="0" w:type="dxa"/>
        <w:tblLayout w:type="fixed"/>
        <w:tblCellMar>
          <w:top w:w="0" w:type="dxa"/>
          <w:left w:w="0" w:type="dxa"/>
          <w:bottom w:w="0" w:type="dxa"/>
          <w:right w:w="0" w:type="dxa"/>
        </w:tblCellMar>
      </w:tblPr>
      <w:tblGrid>
        <w:gridCol w:w="68"/>
        <w:gridCol w:w="410"/>
        <w:gridCol w:w="9727"/>
      </w:tblGrid>
      <w:tr>
        <w:trPr/>
        <w:tc>
          <w:tcPr>
            <w:tcW w:w="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(18)</w:t>
            </w:r>
          </w:p>
        </w:tc>
        <w:tc>
          <w:tcPr>
            <w:tcW w:w="9727" w:type="dxa"/>
            <w:tcBorders/>
            <w:vAlign w:val="center"/>
          </w:tcPr>
          <w:p>
            <w:pPr>
              <w:pStyle w:val="TableContents"/>
              <w:bidi w:val="0"/>
              <w:spacing w:before="0" w:after="283"/>
              <w:jc w:val="both"/>
              <w:rPr/>
            </w:pPr>
            <w:r>
              <w:rPr/>
              <w:t>Comprised of shares included under “Directors and Named Executive Officers” other than Mr. Martell and Dr. Tucker as neither is currently an executive officer.</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2024 Plan, the 2024 ESPP and the Inducement Plan were the only compensation plans under which our securities were authorized for future grant. In addition, as of December 31, 2025, equity awards were outstanding under the 2021 Plan and our 2019 Equity Incentive Plan (the “2019 EIP”). We cannot grant future awards under the 2021 Plan or the 2019 EIP. However, the 2021 Plan continues to govern awards outstanding thereunder. Each of the 2019 EIP, the 2021 Plan, the 2024 Plan and the 2024 ESPP was approved by our stockholders. The Inducement Plan has not been approved by our stockholders. In 2021, the 2019 EIP terminated prior to and contingent upon the consummation of the business combination with Amplitude Healthcare Acquisition Corporation that was completed in 2021. However, the 2019 EIP continues to govern awards outstanding thereunder. The following table provides information as of December 31, 2025 with respect to our existing and predecessor plans.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529"/>
        <w:gridCol w:w="90"/>
        <w:gridCol w:w="107"/>
        <w:gridCol w:w="1203"/>
        <w:gridCol w:w="90"/>
        <w:gridCol w:w="90"/>
        <w:gridCol w:w="334"/>
        <w:gridCol w:w="1161"/>
        <w:gridCol w:w="318"/>
        <w:gridCol w:w="90"/>
        <w:gridCol w:w="138"/>
        <w:gridCol w:w="1567"/>
        <w:gridCol w:w="488"/>
      </w:tblGrid>
      <w:tr>
        <w:trPr/>
        <w:tc>
          <w:tcPr>
            <w:tcW w:w="4529" w:type="dxa"/>
            <w:tcBorders>
              <w:bottom w:val="single" w:sz="12" w:space="0" w:color="000000"/>
            </w:tcBorders>
            <w:vAlign w:val="center"/>
          </w:tcPr>
          <w:p>
            <w:pPr>
              <w:pStyle w:val="TableContents"/>
              <w:bidi w:val="0"/>
              <w:spacing w:before="0" w:after="283"/>
              <w:jc w:val="left"/>
              <w:rPr>
                <w:b/>
              </w:rPr>
            </w:pPr>
            <w:r>
              <w:rPr>
                <w:b/>
              </w:rPr>
              <w:t>Plan Category</w:t>
            </w:r>
          </w:p>
        </w:tc>
        <w:tc>
          <w:tcPr>
            <w:tcW w:w="90" w:type="dxa"/>
            <w:tcBorders/>
            <w:tcMar>
              <w:bottom w:w="0" w:type="dxa"/>
            </w:tcMar>
            <w:vAlign w:val="center"/>
          </w:tcPr>
          <w:p>
            <w:pPr>
              <w:pStyle w:val="TableContents"/>
              <w:bidi w:val="0"/>
              <w:spacing w:before="0" w:after="283"/>
              <w:jc w:val="left"/>
              <w:rPr/>
            </w:pPr>
            <w:r>
              <w:rPr/>
              <w:t> </w:t>
            </w:r>
          </w:p>
        </w:tc>
        <w:tc>
          <w:tcPr>
            <w:tcW w:w="1310" w:type="dxa"/>
            <w:gridSpan w:val="2"/>
            <w:tcBorders>
              <w:bottom w:val="single" w:sz="12" w:space="0" w:color="000000"/>
            </w:tcBorders>
            <w:vAlign w:val="center"/>
          </w:tcPr>
          <w:p>
            <w:pPr>
              <w:pStyle w:val="TableContents"/>
              <w:bidi w:val="0"/>
              <w:spacing w:before="0" w:after="283"/>
              <w:jc w:val="center"/>
              <w:rPr>
                <w:b/>
              </w:rPr>
            </w:pPr>
            <w:r>
              <w:rPr>
                <w:b/>
              </w:rPr>
              <w:t>(a) Number</w:t>
              <w:br/>
              <w:t>of Securities</w:t>
              <w:br/>
              <w:t>to be Issued</w:t>
              <w:br/>
              <w:t>Upon</w:t>
              <w:br/>
              <w:t>Exercise of</w:t>
              <w:br/>
              <w:t>Outstanding</w:t>
              <w:br/>
              <w:t>Options,</w:t>
              <w:br/>
              <w:t>Warrants</w:t>
              <w:br/>
              <w:t>and Rights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95" w:type="dxa"/>
            <w:gridSpan w:val="2"/>
            <w:tcBorders>
              <w:bottom w:val="single" w:sz="12" w:space="0" w:color="000000"/>
            </w:tcBorders>
            <w:vAlign w:val="center"/>
          </w:tcPr>
          <w:p>
            <w:pPr>
              <w:pStyle w:val="TableContents"/>
              <w:bidi w:val="0"/>
              <w:spacing w:before="0" w:after="283"/>
              <w:jc w:val="center"/>
              <w:rPr>
                <w:b/>
              </w:rPr>
            </w:pPr>
            <w:r>
              <w:rPr>
                <w:b/>
              </w:rPr>
              <w:t>(b) Weighted-</w:t>
              <w:br/>
              <w:t>Average</w:t>
              <w:br/>
              <w:t>Exercise Price</w:t>
              <w:br/>
              <w:t>of Outstanding</w:t>
              <w:br/>
              <w:t>Options,</w:t>
              <w:br/>
              <w:t>Warrants and</w:t>
              <w:br/>
              <w:t>Rights</w:t>
            </w:r>
          </w:p>
        </w:tc>
        <w:tc>
          <w:tcPr>
            <w:tcW w:w="31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5" w:type="dxa"/>
            <w:gridSpan w:val="2"/>
            <w:tcBorders>
              <w:bottom w:val="single" w:sz="12" w:space="0" w:color="000000"/>
            </w:tcBorders>
            <w:vAlign w:val="center"/>
          </w:tcPr>
          <w:p>
            <w:pPr>
              <w:pStyle w:val="TableContents"/>
              <w:bidi w:val="0"/>
              <w:spacing w:before="0" w:after="283"/>
              <w:jc w:val="center"/>
              <w:rPr>
                <w:b/>
              </w:rPr>
            </w:pPr>
            <w:r>
              <w:rPr>
                <w:b/>
              </w:rPr>
              <w:t>(c) Number of</w:t>
              <w:br/>
              <w:t>Securities</w:t>
              <w:br/>
              <w:t>Remaining</w:t>
              <w:br/>
              <w:t>Available for</w:t>
              <w:br/>
              <w:t>Future Issuance</w:t>
              <w:br/>
              <w:t>Under Equity</w:t>
              <w:br/>
              <w:t>Compensation</w:t>
              <w:br/>
              <w:t>Plans (Excluding</w:t>
              <w:br/>
              <w:t>Securities</w:t>
              <w:br/>
              <w:t>Reflected in</w:t>
              <w:br/>
              <w:t>Column (a))</w:t>
            </w:r>
          </w:p>
        </w:tc>
        <w:tc>
          <w:tcPr>
            <w:tcW w:w="488" w:type="dxa"/>
            <w:tcBorders/>
            <w:tcMar>
              <w:bottom w:w="0" w:type="dxa"/>
            </w:tcMar>
            <w:vAlign w:val="center"/>
          </w:tcPr>
          <w:p>
            <w:pPr>
              <w:pStyle w:val="TableContents"/>
              <w:bidi w:val="0"/>
              <w:spacing w:before="0" w:after="283"/>
              <w:jc w:val="left"/>
              <w:rPr/>
            </w:pPr>
            <w:r>
              <w:rPr/>
              <w:t> </w:t>
            </w:r>
          </w:p>
        </w:tc>
      </w:tr>
      <w:tr>
        <w:trPr/>
        <w:tc>
          <w:tcPr>
            <w:tcW w:w="452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compensation plans approved by stockholders</w:t>
            </w:r>
            <w:r>
              <w:rPr>
                <w:rFonts w:ascii="Times New Roman;Times;Serif" w:hAnsi="Times New Roman;Times;Serif"/>
                <w:position w:val="8"/>
                <w:sz w:val="19"/>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203" w:type="dxa"/>
            <w:tcBorders/>
            <w:shd w:fill="CCEEFF" w:val="clear"/>
            <w:tcMar>
              <w:bottom w:w="0" w:type="dxa"/>
            </w:tcMar>
            <w:vAlign w:val="center"/>
          </w:tcPr>
          <w:p>
            <w:pPr>
              <w:pStyle w:val="TableContents"/>
              <w:bidi w:val="0"/>
              <w:spacing w:before="0" w:after="283"/>
              <w:jc w:val="right"/>
              <w:rPr/>
            </w:pPr>
            <w:r>
              <w:rPr/>
              <w:t>2,047,875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4" w:type="dxa"/>
            <w:tcBorders/>
            <w:shd w:fill="CCEEFF" w:val="clear"/>
            <w:tcMar>
              <w:bottom w:w="0" w:type="dxa"/>
            </w:tcMar>
            <w:vAlign w:val="center"/>
          </w:tcPr>
          <w:p>
            <w:pPr>
              <w:pStyle w:val="TableContents"/>
              <w:bidi w:val="0"/>
              <w:spacing w:before="0" w:after="283"/>
              <w:jc w:val="left"/>
              <w:rPr/>
            </w:pPr>
            <w:r>
              <w:rPr/>
              <w:t>$</w:t>
            </w:r>
          </w:p>
        </w:tc>
        <w:tc>
          <w:tcPr>
            <w:tcW w:w="1161" w:type="dxa"/>
            <w:tcBorders/>
            <w:shd w:fill="CCEEFF" w:val="clear"/>
            <w:tcMar>
              <w:bottom w:w="0" w:type="dxa"/>
            </w:tcMar>
            <w:vAlign w:val="center"/>
          </w:tcPr>
          <w:p>
            <w:pPr>
              <w:pStyle w:val="TableContents"/>
              <w:bidi w:val="0"/>
              <w:spacing w:before="0" w:after="283"/>
              <w:jc w:val="right"/>
              <w:rPr/>
            </w:pPr>
            <w:r>
              <w:rPr/>
              <w:t>10.37</w:t>
            </w:r>
          </w:p>
        </w:tc>
        <w:tc>
          <w:tcPr>
            <w:tcW w:w="318" w:type="dxa"/>
            <w:tcBorders/>
            <w:shd w:fill="CCEEFF" w:val="clear"/>
            <w:tcMar>
              <w:bottom w:w="0" w:type="dxa"/>
            </w:tcMar>
            <w:vAlign w:val="center"/>
          </w:tcPr>
          <w:p>
            <w:pPr>
              <w:pStyle w:val="TableContents"/>
              <w:bidi w:val="0"/>
              <w:spacing w:before="0" w:after="283"/>
              <w:jc w:val="left"/>
              <w:rPr/>
            </w:pPr>
            <w:r>
              <w:rPr/>
              <w:t> </w:t>
            </w:r>
            <w:r>
              <w:rPr>
                <w:position w:val="8"/>
                <w:sz w:val="19"/>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1567" w:type="dxa"/>
            <w:tcBorders/>
            <w:shd w:fill="CCEEFF" w:val="clear"/>
            <w:tcMar>
              <w:bottom w:w="0" w:type="dxa"/>
            </w:tcMar>
            <w:vAlign w:val="center"/>
          </w:tcPr>
          <w:p>
            <w:pPr>
              <w:pStyle w:val="TableContents"/>
              <w:bidi w:val="0"/>
              <w:spacing w:before="0" w:after="283"/>
              <w:jc w:val="right"/>
              <w:rPr/>
            </w:pPr>
            <w:r>
              <w:rPr/>
              <w:t>1,764,187</w:t>
            </w:r>
          </w:p>
        </w:tc>
        <w:tc>
          <w:tcPr>
            <w:tcW w:w="488"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(3)(4)</w:t>
            </w:r>
          </w:p>
        </w:tc>
      </w:tr>
      <w:tr>
        <w:trPr/>
        <w:tc>
          <w:tcPr>
            <w:tcW w:w="4529"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compensation plans not approved by stockholders</w:t>
            </w:r>
            <w:r>
              <w:rPr>
                <w:rFonts w:ascii="Times New Roman;Times;Serif" w:hAnsi="Times New Roman;Times;Serif"/>
                <w:position w:val="8"/>
                <w:sz w:val="19"/>
              </w:rPr>
              <w:t>(5)</w:t>
            </w:r>
          </w:p>
        </w:tc>
        <w:tc>
          <w:tcPr>
            <w:tcW w:w="90" w:type="dxa"/>
            <w:tcBorders/>
            <w:tcMar>
              <w:bottom w:w="0" w:type="dxa"/>
            </w:tcMar>
            <w:vAlign w:val="center"/>
          </w:tcPr>
          <w:p>
            <w:pPr>
              <w:pStyle w:val="TableContents"/>
              <w:bidi w:val="0"/>
              <w:spacing w:before="0" w:after="283"/>
              <w:jc w:val="left"/>
              <w:rPr/>
            </w:pPr>
            <w:r>
              <w:rPr/>
              <w:t> </w:t>
            </w:r>
          </w:p>
        </w:tc>
        <w:tc>
          <w:tcPr>
            <w:tcW w:w="107" w:type="dxa"/>
            <w:tcBorders>
              <w:bottom w:val="single" w:sz="12" w:space="0" w:color="000000"/>
            </w:tcBorders>
            <w:vAlign w:val="center"/>
          </w:tcPr>
          <w:p>
            <w:pPr>
              <w:pStyle w:val="TableContents"/>
              <w:bidi w:val="0"/>
              <w:spacing w:before="0" w:after="283"/>
              <w:jc w:val="left"/>
              <w:rPr/>
            </w:pPr>
            <w:r>
              <w:rPr/>
              <w:t> </w:t>
            </w:r>
          </w:p>
        </w:tc>
        <w:tc>
          <w:tcPr>
            <w:tcW w:w="1203" w:type="dxa"/>
            <w:tcBorders>
              <w:bottom w:val="single" w:sz="12" w:space="0" w:color="000000"/>
            </w:tcBorders>
            <w:vAlign w:val="center"/>
          </w:tcPr>
          <w:p>
            <w:pPr>
              <w:pStyle w:val="TableContents"/>
              <w:bidi w:val="0"/>
              <w:spacing w:before="0" w:after="283"/>
              <w:jc w:val="right"/>
              <w:rPr/>
            </w:pPr>
            <w:r>
              <w:rPr/>
              <w:t>417,231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4" w:type="dxa"/>
            <w:tcBorders>
              <w:bottom w:val="single" w:sz="12" w:space="0" w:color="000000"/>
            </w:tcBorders>
            <w:vAlign w:val="center"/>
          </w:tcPr>
          <w:p>
            <w:pPr>
              <w:pStyle w:val="TableContents"/>
              <w:bidi w:val="0"/>
              <w:spacing w:before="0" w:after="283"/>
              <w:jc w:val="left"/>
              <w:rPr/>
            </w:pPr>
            <w:r>
              <w:rPr/>
              <w:t>$</w:t>
            </w:r>
          </w:p>
        </w:tc>
        <w:tc>
          <w:tcPr>
            <w:tcW w:w="1161" w:type="dxa"/>
            <w:tcBorders>
              <w:bottom w:val="single" w:sz="12" w:space="0" w:color="000000"/>
            </w:tcBorders>
            <w:vAlign w:val="center"/>
          </w:tcPr>
          <w:p>
            <w:pPr>
              <w:pStyle w:val="TableContents"/>
              <w:bidi w:val="0"/>
              <w:spacing w:before="0" w:after="283"/>
              <w:jc w:val="right"/>
              <w:rPr/>
            </w:pPr>
            <w:r>
              <w:rPr/>
              <w:t>22.98</w:t>
            </w:r>
          </w:p>
        </w:tc>
        <w:tc>
          <w:tcPr>
            <w:tcW w:w="31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8" w:type="dxa"/>
            <w:tcBorders>
              <w:bottom w:val="single" w:sz="12" w:space="0" w:color="000000"/>
            </w:tcBorders>
            <w:vAlign w:val="center"/>
          </w:tcPr>
          <w:p>
            <w:pPr>
              <w:pStyle w:val="TableContents"/>
              <w:bidi w:val="0"/>
              <w:spacing w:before="0" w:after="283"/>
              <w:jc w:val="left"/>
              <w:rPr/>
            </w:pPr>
            <w:r>
              <w:rPr/>
              <w:t> </w:t>
            </w:r>
          </w:p>
        </w:tc>
        <w:tc>
          <w:tcPr>
            <w:tcW w:w="1567" w:type="dxa"/>
            <w:tcBorders>
              <w:bottom w:val="single" w:sz="12" w:space="0" w:color="000000"/>
            </w:tcBorders>
            <w:vAlign w:val="center"/>
          </w:tcPr>
          <w:p>
            <w:pPr>
              <w:pStyle w:val="TableContents"/>
              <w:bidi w:val="0"/>
              <w:spacing w:before="0" w:after="283"/>
              <w:jc w:val="right"/>
              <w:rPr/>
            </w:pPr>
            <w:r>
              <w:rPr/>
              <w:t>132,769</w:t>
            </w:r>
          </w:p>
        </w:tc>
        <w:tc>
          <w:tcPr>
            <w:tcW w:w="488" w:type="dxa"/>
            <w:tcBorders/>
            <w:tcMar>
              <w:bottom w:w="0" w:type="dxa"/>
            </w:tcMar>
            <w:vAlign w:val="center"/>
          </w:tcPr>
          <w:p>
            <w:pPr>
              <w:pStyle w:val="TableContents"/>
              <w:bidi w:val="0"/>
              <w:spacing w:before="0" w:after="283"/>
              <w:jc w:val="left"/>
              <w:rPr/>
            </w:pPr>
            <w:r>
              <w:rPr/>
              <w:t> </w:t>
            </w:r>
          </w:p>
        </w:tc>
      </w:tr>
      <w:tr>
        <w:trPr/>
        <w:tc>
          <w:tcPr>
            <w:tcW w:w="4529" w:type="dxa"/>
            <w:tcBorders/>
            <w:shd w:fill="CCEEFF" w:val="clear"/>
            <w:tcMar>
              <w:bottom w:w="0" w:type="dxa"/>
            </w:tcMar>
            <w:vAlign w:val="center"/>
          </w:tcPr>
          <w:p>
            <w:pPr>
              <w:pStyle w:val="TableContents"/>
              <w:bidi w:val="0"/>
              <w:spacing w:before="0" w:after="283"/>
              <w:jc w:val="left"/>
              <w:rPr/>
            </w:pPr>
            <w:r>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 w:type="dxa"/>
            <w:tcBorders>
              <w:bottom w:val="double" w:sz="10" w:space="0" w:color="000000"/>
            </w:tcBorders>
            <w:shd w:fill="CCEEFF" w:val="clear"/>
            <w:vAlign w:val="center"/>
          </w:tcPr>
          <w:p>
            <w:pPr>
              <w:pStyle w:val="TableContents"/>
              <w:bidi w:val="0"/>
              <w:spacing w:before="0" w:after="283"/>
              <w:jc w:val="left"/>
              <w:rPr/>
            </w:pPr>
            <w:r>
              <w:rPr/>
              <w:t> </w:t>
            </w:r>
          </w:p>
        </w:tc>
        <w:tc>
          <w:tcPr>
            <w:tcW w:w="1203" w:type="dxa"/>
            <w:tcBorders>
              <w:bottom w:val="double" w:sz="10" w:space="0" w:color="000000"/>
            </w:tcBorders>
            <w:shd w:fill="CCEEFF" w:val="clear"/>
            <w:vAlign w:val="center"/>
          </w:tcPr>
          <w:p>
            <w:pPr>
              <w:pStyle w:val="TableContents"/>
              <w:bidi w:val="0"/>
              <w:spacing w:before="0" w:after="283"/>
              <w:jc w:val="right"/>
              <w:rPr/>
            </w:pPr>
            <w:r>
              <w:rPr/>
              <w:t>2,465,106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4" w:type="dxa"/>
            <w:tcBorders>
              <w:bottom w:val="double" w:sz="10" w:space="0" w:color="000000"/>
            </w:tcBorders>
            <w:shd w:fill="CCEEFF" w:val="clear"/>
            <w:vAlign w:val="center"/>
          </w:tcPr>
          <w:p>
            <w:pPr>
              <w:pStyle w:val="TableContents"/>
              <w:bidi w:val="0"/>
              <w:spacing w:before="0" w:after="283"/>
              <w:jc w:val="left"/>
              <w:rPr/>
            </w:pPr>
            <w:r>
              <w:rPr/>
              <w:t>$</w:t>
            </w:r>
          </w:p>
        </w:tc>
        <w:tc>
          <w:tcPr>
            <w:tcW w:w="1161" w:type="dxa"/>
            <w:tcBorders>
              <w:bottom w:val="double" w:sz="10" w:space="0" w:color="000000"/>
            </w:tcBorders>
            <w:shd w:fill="CCEEFF" w:val="clear"/>
            <w:vAlign w:val="center"/>
          </w:tcPr>
          <w:p>
            <w:pPr>
              <w:pStyle w:val="TableContents"/>
              <w:bidi w:val="0"/>
              <w:spacing w:before="0" w:after="283"/>
              <w:jc w:val="right"/>
              <w:rPr/>
            </w:pPr>
            <w:r>
              <w:rPr/>
              <w:t>12.50</w:t>
            </w:r>
          </w:p>
        </w:tc>
        <w:tc>
          <w:tcPr>
            <w:tcW w:w="31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8" w:type="dxa"/>
            <w:tcBorders>
              <w:bottom w:val="double" w:sz="10" w:space="0" w:color="000000"/>
            </w:tcBorders>
            <w:shd w:fill="CCEEFF" w:val="clear"/>
            <w:vAlign w:val="center"/>
          </w:tcPr>
          <w:p>
            <w:pPr>
              <w:pStyle w:val="TableContents"/>
              <w:bidi w:val="0"/>
              <w:spacing w:before="0" w:after="283"/>
              <w:jc w:val="left"/>
              <w:rPr/>
            </w:pPr>
            <w:r>
              <w:rPr/>
              <w:t> </w:t>
            </w:r>
          </w:p>
        </w:tc>
        <w:tc>
          <w:tcPr>
            <w:tcW w:w="1567" w:type="dxa"/>
            <w:tcBorders>
              <w:bottom w:val="double" w:sz="10" w:space="0" w:color="000000"/>
            </w:tcBorders>
            <w:shd w:fill="CCEEFF" w:val="clear"/>
            <w:vAlign w:val="center"/>
          </w:tcPr>
          <w:p>
            <w:pPr>
              <w:pStyle w:val="TableContents"/>
              <w:bidi w:val="0"/>
              <w:spacing w:before="0" w:after="283"/>
              <w:jc w:val="right"/>
              <w:rPr/>
            </w:pPr>
            <w:r>
              <w:rPr/>
              <w:t>1,896,956</w:t>
            </w:r>
          </w:p>
        </w:tc>
        <w:tc>
          <w:tcPr>
            <w:tcW w:w="48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77"/>
        <w:gridCol w:w="363"/>
        <w:gridCol w:w="9765"/>
      </w:tblGrid>
      <w:tr>
        <w:trPr/>
        <w:tc>
          <w:tcPr>
            <w:tcW w:w="7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(1)</w:t>
            </w:r>
          </w:p>
        </w:tc>
        <w:tc>
          <w:tcPr>
            <w:tcW w:w="9765" w:type="dxa"/>
            <w:tcBorders/>
            <w:vAlign w:val="center"/>
          </w:tcPr>
          <w:p>
            <w:pPr>
              <w:pStyle w:val="TableContents"/>
              <w:bidi w:val="0"/>
              <w:spacing w:before="0" w:after="283"/>
              <w:jc w:val="both"/>
              <w:rPr/>
            </w:pPr>
            <w:r>
              <w:rPr/>
              <w:t>Includes the following plans: the 2024 Plan, 2021 Plan, the 2019 EIP and the 2024 ESPP.</w:t>
            </w:r>
          </w:p>
        </w:tc>
      </w:tr>
    </w:tbl>
    <w:tbl>
      <w:tblPr>
        <w:tblW w:w="5000" w:type="pct"/>
        <w:jc w:val="left"/>
        <w:tblInd w:w="0" w:type="dxa"/>
        <w:tblLayout w:type="fixed"/>
        <w:tblCellMar>
          <w:top w:w="0" w:type="dxa"/>
          <w:left w:w="0" w:type="dxa"/>
          <w:bottom w:w="0" w:type="dxa"/>
          <w:right w:w="0" w:type="dxa"/>
        </w:tblCellMar>
      </w:tblPr>
      <w:tblGrid>
        <w:gridCol w:w="67"/>
        <w:gridCol w:w="266"/>
        <w:gridCol w:w="9872"/>
      </w:tblGrid>
      <w:tr>
        <w:trPr/>
        <w:tc>
          <w:tcPr>
            <w:tcW w:w="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(2)</w:t>
            </w:r>
          </w:p>
        </w:tc>
        <w:tc>
          <w:tcPr>
            <w:tcW w:w="9872" w:type="dxa"/>
            <w:tcBorders/>
            <w:vAlign w:val="center"/>
          </w:tcPr>
          <w:p>
            <w:pPr>
              <w:pStyle w:val="TableContents"/>
              <w:bidi w:val="0"/>
              <w:spacing w:before="0" w:after="283"/>
              <w:jc w:val="both"/>
              <w:rPr/>
            </w:pPr>
            <w:r>
              <w:rPr/>
              <w:t>Amount is based on the weighted-average exercise price of vested and unvested stock options outstanding under the 2024 Plan, the 2021 Plan and the 2019 EIP and does not reflect the shares that will be issued upon the vesting of outstanding awards of restricted stock unit awards, which have no exercise price.</w:t>
            </w:r>
          </w:p>
        </w:tc>
      </w:tr>
    </w:tbl>
    <w:tbl>
      <w:tblPr>
        <w:tblW w:w="5000" w:type="pct"/>
        <w:jc w:val="left"/>
        <w:tblInd w:w="0" w:type="dxa"/>
        <w:tblLayout w:type="fixed"/>
        <w:tblCellMar>
          <w:top w:w="0" w:type="dxa"/>
          <w:left w:w="0" w:type="dxa"/>
          <w:bottom w:w="0" w:type="dxa"/>
          <w:right w:w="0" w:type="dxa"/>
        </w:tblCellMar>
      </w:tblPr>
      <w:tblGrid>
        <w:gridCol w:w="67"/>
        <w:gridCol w:w="247"/>
        <w:gridCol w:w="9891"/>
      </w:tblGrid>
      <w:tr>
        <w:trPr/>
        <w:tc>
          <w:tcPr>
            <w:tcW w:w="6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(3)</w:t>
            </w:r>
          </w:p>
        </w:tc>
        <w:tc>
          <w:tcPr>
            <w:tcW w:w="9891" w:type="dxa"/>
            <w:tcBorders/>
            <w:vAlign w:val="center"/>
          </w:tcPr>
          <w:p>
            <w:pPr>
              <w:pStyle w:val="TableContents"/>
              <w:bidi w:val="0"/>
              <w:spacing w:before="0" w:after="283"/>
              <w:jc w:val="both"/>
              <w:rPr/>
            </w:pPr>
            <w:r>
              <w:rPr/>
              <w:t>As of December 31, 2025, a total of 843,360 shares of our common stock were reserved for issuance for future grants pursuant to the 2024 Plan. All of the foregoing share numbers are subject to adjustment in the event of a stock split, stock dividend or other change in our capitalization. Shares subject to awards granted under the 2024 Plan that expire or terminate without being exercised in full will not reduce the number of shares available for issuance under the 2024 Plan. The settlement of any portion of an award in cash will not reduce the number of shares available for issuance under the 2024 Plan. Shares withheld under an award to satisfy the exercise, strike or purchase price of an award or to satisfy a tax withholding obligation will reduce the number of shares available for issuance under the 2024 Plan. With respect to a stock appreciation right, only shares of common stock that are issued upon settlement of the stock appreciation right will count towards reducing the number of shares available for issuance under the 2024 Plan. If any shares of our common stock issued pursuant to an award are forfeited back to or repurchased or reacquired by us because of a failure to meet a contingency or condition required for the vesting of such shares, the shares that are forfeited or repurchased or reacquired will revert to and again become available for issuance under the 2024 Plan. If any shares of our common stock issued pursuant to an award are forfeited back to or repurchased or reacquired by us (i) to satisfy the exercise, strike or purchase price of an award or (ii) to satisfy a tax withholding obligation in connection with an award, the shares that are forfeited or repurchased or reacquired will reduce the number of shares available for issuance under the 2024 Plan. We no longer make grants under the 2019 EIP or the 2021 Plan; however, up to 140,516 shares of our common stock (subject to adjustment for recapitalizations, stock splits and similar transactions) subject to outstanding stock options or other equity awards granted under the 2021 Plan that, following June 6, 2024, terminate or expire prior to exercise or settlement, are not issued because the award is settled in cash or are forfeited because of the failure to vest, became or will become available for issuance under the 2024 Plan.</w:t>
            </w:r>
          </w:p>
        </w:tc>
      </w:tr>
    </w:tbl>
    <w:tbl>
      <w:tblPr>
        <w:tblW w:w="5000" w:type="pct"/>
        <w:jc w:val="left"/>
        <w:tblInd w:w="0" w:type="dxa"/>
        <w:tblLayout w:type="fixed"/>
        <w:tblCellMar>
          <w:top w:w="0" w:type="dxa"/>
          <w:left w:w="0" w:type="dxa"/>
          <w:bottom w:w="0" w:type="dxa"/>
          <w:right w:w="0" w:type="dxa"/>
        </w:tblCellMar>
      </w:tblPr>
      <w:tblGrid>
        <w:gridCol w:w="67"/>
        <w:gridCol w:w="299"/>
        <w:gridCol w:w="9839"/>
      </w:tblGrid>
      <w:tr>
        <w:trPr/>
        <w:tc>
          <w:tcPr>
            <w:tcW w:w="6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(4)</w:t>
            </w:r>
          </w:p>
        </w:tc>
        <w:tc>
          <w:tcPr>
            <w:tcW w:w="9839" w:type="dxa"/>
            <w:tcBorders/>
            <w:vAlign w:val="center"/>
          </w:tcPr>
          <w:p>
            <w:pPr>
              <w:pStyle w:val="TableContents"/>
              <w:bidi w:val="0"/>
              <w:spacing w:before="0" w:after="283"/>
              <w:jc w:val="both"/>
              <w:rPr/>
            </w:pPr>
            <w:r>
              <w:rPr/>
              <w:t>As of December 31, 2025, a total of 920,827 shares of our common stock were reserved for future issuance pursuant to the 2024 ESPP.</w:t>
            </w:r>
          </w:p>
        </w:tc>
      </w:tr>
    </w:tbl>
    <w:tbl>
      <w:tblPr>
        <w:tblW w:w="5000" w:type="pct"/>
        <w:jc w:val="left"/>
        <w:tblInd w:w="0" w:type="dxa"/>
        <w:tblLayout w:type="fixed"/>
        <w:tblCellMar>
          <w:top w:w="0" w:type="dxa"/>
          <w:left w:w="0" w:type="dxa"/>
          <w:bottom w:w="0" w:type="dxa"/>
          <w:right w:w="0" w:type="dxa"/>
        </w:tblCellMar>
      </w:tblPr>
      <w:tblGrid>
        <w:gridCol w:w="175"/>
        <w:gridCol w:w="827"/>
        <w:gridCol w:w="9203"/>
      </w:tblGrid>
      <w:tr>
        <w:trPr/>
        <w:tc>
          <w:tcPr>
            <w:tcW w:w="17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pPr>
            <w:r>
              <w:rPr/>
              <w:t>(5)</w:t>
            </w:r>
          </w:p>
        </w:tc>
        <w:tc>
          <w:tcPr>
            <w:tcW w:w="9203" w:type="dxa"/>
            <w:tcBorders/>
            <w:vAlign w:val="center"/>
          </w:tcPr>
          <w:p>
            <w:pPr>
              <w:pStyle w:val="TableContents"/>
              <w:bidi w:val="0"/>
              <w:spacing w:before="0" w:after="283"/>
              <w:jc w:val="both"/>
              <w:rPr/>
            </w:pPr>
            <w:r>
              <w:rPr/>
              <w:t>Includes solely the Inducement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4"/>
      <w:bookmarkEnd w:id="6"/>
      <w:r>
        <w:rPr>
          <w:rFonts w:ascii="Times New Roman;Times;Serif" w:hAnsi="Times New Roman;Times;Serif"/>
          <w:b/>
          <w:i w:val="false"/>
          <w:caps w:val="false"/>
          <w:smallCaps w:val="false"/>
          <w:sz w:val="20"/>
        </w:rPr>
        <w:t>ITEM 13. CERTAIN RELATIONSHIPS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transactions since January 1, 2025, to which we have been a participant in which the amount involved exceeded or will exceed the lesser of $120,000 or one percent of the average of our total assets at year-end for the last two completed fiscal years, and in which any of our directors, executive officers or holders of more than five percent of our capital stock, or any member of the immediate family of the foregoing persons, had or will have a direct or indirect material interest, other than compensation arrangements which are described in Item 11 of this Annual Report on Form 10-K.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terms obtained or consideration that we paid or received, as applicable, in connection with the transactions described below were comparable to terms available or the amounts that would be paid or received, as applicable, in arm’s length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Shizuru Consulting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2019, we entered into a consulting agreement with Judith Shizuru, M.D., Ph.D., a member of our Board and holder of more than 5% of our capital stock at the time the consulting agreement was entered into, pursuant to which Dr. Shizuru previously provided us with consulting and advisory services in exchange for a cash fee of $20,833 per month, or $250,000 per year. Since January 1, 2025, Dr. Shizuru has waived the right to receive any payments under the consulting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offer letters and service agreements with certain of our executive officers. For more information regarding these agreements with our executive officers, see the disclosure under the heading “Employment and Other Arrangements with Named Executive Officers” of Item 11 of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Cash Bonus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 cash incentive plan for certain of our executive officers. For a description of this plan, see the disclosure under the heading “Individual Compensation Elements—Annual Cash Incentive Bonuses” of Item 11 of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of Directors and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contains provisions that limit the liability of our current and former directors and officers for monetary damages to the fullest extent permitted by Delaware law. Delaware law provides that directors and officers of a corporation will not be personally liable for monetary damages for any breach of fiduciary duties as directors or officers, except liability for:</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226"/>
        <w:gridCol w:w="9903"/>
      </w:tblGrid>
      <w:tr>
        <w:trPr/>
        <w:tc>
          <w:tcPr>
            <w:tcW w:w="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w:t>
            </w:r>
          </w:p>
        </w:tc>
        <w:tc>
          <w:tcPr>
            <w:tcW w:w="9903" w:type="dxa"/>
            <w:tcBorders/>
            <w:vAlign w:val="center"/>
          </w:tcPr>
          <w:p>
            <w:pPr>
              <w:pStyle w:val="TableContents"/>
              <w:bidi w:val="0"/>
              <w:spacing w:before="0" w:after="283"/>
              <w:jc w:val="both"/>
              <w:rPr/>
            </w:pPr>
            <w:r>
              <w:rPr/>
              <w:t>any breach of the director’s or officer’s duty of loyalty to the corporation or its stockholders;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any act or omission not in good faith or that involves intentional misconduct or a knowing violation of law;</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225"/>
        <w:gridCol w:w="9904"/>
      </w:tblGrid>
      <w:tr>
        <w:trPr/>
        <w:tc>
          <w:tcPr>
            <w:tcW w:w="7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both"/>
              <w:rPr/>
            </w:pPr>
            <w:r>
              <w:rPr/>
              <w:t>as a director, unlawful payments of dividends or unlawful stock repurchases or redemptions;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236"/>
        <w:gridCol w:w="9889"/>
      </w:tblGrid>
      <w:tr>
        <w:trPr/>
        <w:tc>
          <w:tcPr>
            <w:tcW w:w="8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w:t>
            </w:r>
          </w:p>
        </w:tc>
        <w:tc>
          <w:tcPr>
            <w:tcW w:w="9889" w:type="dxa"/>
            <w:tcBorders/>
            <w:vAlign w:val="center"/>
          </w:tcPr>
          <w:p>
            <w:pPr>
              <w:pStyle w:val="TableContents"/>
              <w:bidi w:val="0"/>
              <w:spacing w:before="0" w:after="283"/>
              <w:jc w:val="both"/>
              <w:rPr/>
            </w:pPr>
            <w:r>
              <w:rPr/>
              <w:t>as an officer, derivative claims brought on behalf of the corporation by a stockholder;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238"/>
        <w:gridCol w:w="9887"/>
      </w:tblGrid>
      <w:tr>
        <w:trPr/>
        <w:tc>
          <w:tcPr>
            <w:tcW w:w="8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w:t>
            </w:r>
          </w:p>
        </w:tc>
        <w:tc>
          <w:tcPr>
            <w:tcW w:w="9887" w:type="dxa"/>
            <w:tcBorders/>
            <w:vAlign w:val="center"/>
          </w:tcPr>
          <w:p>
            <w:pPr>
              <w:pStyle w:val="TableContents"/>
              <w:bidi w:val="0"/>
              <w:spacing w:before="0" w:after="283"/>
              <w:jc w:val="both"/>
              <w:rPr/>
            </w:pPr>
            <w:r>
              <w:rPr/>
              <w:t>any transaction from which the director or officer derived an improper personal benefit.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limitation of liability does not apply to liabilities arising under federal securities laws and does not affect the availability of equitable remedies such as injunctive relief or rescission.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authorizes us to indemnify our directors, officers, employees and other agents to the fullest extent permitted by Delaware law. Our Bylaws provide that we are required to indemnify our directors and officers to the fullest extent permitted by Delaware law and may indemnify our other employees and agents. Our Bylaws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our Certificate of Incorporation, Bylaws and indemnification agreements are necessary to attract and retain qualified persons as directors and officers. We also maintain customary directors’ and officers’ liability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10b5-1 Sales Plans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stock and option awards to certain of our directors and named executive officers. For more information regarding the stock and option awards granted to our directors and named executive officers, see the disclosures under the headings “Outstanding Equity Awards as of December 31, 2025” and “Non-Employee Director Compensation Table” in Item 11 of this Annual Report on Form 10-K.We have entered into change-in-control agreements with certain of our executive officers pursuant to our employment agreements with them that, among other things, provide for certain severance and change-in-control benefits. See the disclosure under the heading “Employment and Other Arrangements with Named Executive Officers” of Item 11 of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adopted a related person transaction policy setting forth the policies and procedures for the identification, review and approval or ratification of related person transactions. This policy covers, with certain exceptions set forth in Item 404 of Regulation S-K under the Securities Act of 1933, as amended (the “Securities Act”), any transaction, arrangement or relationship, or any series of similar transactions, arrangements or relationships, in which we and a related person, as defined by the Securities Act, were or will be participants and the amount involved exceeds $120,000, including purchases of goods or services by or from the related person or entities in which the related person has a material interest, indebtedness and guarantees of indebtedness.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listing requirements and rules of Nasdaq, independent directors must comprise a majority of our Board as a listed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undertaken a review of its composition, the composition of its committees and the independence of each director. Based upon information requested from and provided by each director concerning the director’s background, employment and affiliations, including family relationships, our Board has determined that each of Mr. von Emster, Dr. Lucas, Mr. Kapoor, Dr. Brun, and Mr. Nolet do not have any relationships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Nasdaq. Mr. Wiggans was determined not to be independent as he currently serves as our Executive Chairperson of the Board. Mr. Mahal was determined not to be independent as he currently serves as our President and Chief Executive Officer. Our Board further determined that Dr. Shizuru is not independent due to the fact that she previously received compensation from us for non-employee consulting services to our Company through December 31, 2024 (see the disclosure under the heading “Dr. Shizuru Consulting Agreement” of this Item 13 for additional information). In making these determinations, our Board considered the current and prior relationships that each non-employee director has with our Company and all other facts and circumstances our Board deemed relevant in determining his or her independence, including the beneficial ownership of our capital stock with respect to each non-employee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ITEM 14. PRINCIPAL ACCOUNTING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Paid to the Independent Registered Public Accounting Firm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fees for professional audit services and other services rendered by PricewaterhouseCoopers LLP to us for our fiscal years ended December 31, 2025 and December 31, 2024 (in thousands).</w:t>
      </w:r>
    </w:p>
    <w:p>
      <w:pPr>
        <w:pStyle w:val="TextBody"/>
        <w:bidi w:val="0"/>
        <w:spacing w:before="0" w:after="0"/>
        <w:ind w:left="0" w:right="0" w:firstLine="36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895"/>
        <w:gridCol w:w="90"/>
        <w:gridCol w:w="170"/>
        <w:gridCol w:w="590"/>
        <w:gridCol w:w="90"/>
        <w:gridCol w:w="90"/>
        <w:gridCol w:w="170"/>
        <w:gridCol w:w="590"/>
        <w:gridCol w:w="135"/>
      </w:tblGrid>
      <w:tr>
        <w:trPr/>
        <w:tc>
          <w:tcPr>
            <w:tcW w:w="1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Audit Fees</w:t>
            </w:r>
            <w:r>
              <w:rPr>
                <w:rFonts w:ascii="Times New Roman;Times;Serif" w:hAnsi="Times New Roman;Times;Serif"/>
                <w:position w:val="8"/>
                <w:sz w:val="19"/>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1,347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1,050</w:t>
            </w:r>
          </w:p>
        </w:tc>
        <w:tc>
          <w:tcPr>
            <w:tcW w:w="135"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Audit-Related Fees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Fees</w:t>
            </w:r>
            <w:r>
              <w:rPr>
                <w:rFonts w:ascii="Times New Roman;Times;Serif" w:hAnsi="Times New Roman;Times;Serif"/>
                <w:position w:val="8"/>
                <w:sz w:val="19"/>
              </w:rPr>
              <w:t>(2)</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Other Fees</w:t>
            </w:r>
            <w:r>
              <w:rPr>
                <w:rFonts w:ascii="Times New Roman;Times;Serif" w:hAnsi="Times New Roman;Times;Serif"/>
                <w:position w:val="8"/>
                <w:sz w:val="19"/>
              </w:rPr>
              <w:t>(3)</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2</w:t>
            </w:r>
          </w:p>
        </w:tc>
        <w:tc>
          <w:tcPr>
            <w:tcW w:w="13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pPr>
            <w:r>
              <w:rPr/>
              <w:t>1,349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pPr>
            <w:r>
              <w:rPr/>
              <w:t>1,052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67"/>
        <w:gridCol w:w="259"/>
        <w:gridCol w:w="9879"/>
      </w:tblGrid>
      <w:tr>
        <w:trPr/>
        <w:tc>
          <w:tcPr>
            <w:tcW w:w="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(1)</w:t>
            </w:r>
          </w:p>
        </w:tc>
        <w:tc>
          <w:tcPr>
            <w:tcW w:w="9879" w:type="dxa"/>
            <w:tcBorders/>
            <w:vAlign w:val="center"/>
          </w:tcPr>
          <w:p>
            <w:pPr>
              <w:pStyle w:val="TableContents"/>
              <w:bidi w:val="0"/>
              <w:spacing w:before="0" w:after="283"/>
              <w:jc w:val="both"/>
              <w:rPr/>
            </w:pPr>
            <w:r>
              <w:rPr/>
              <w:t>Audit fees consist of fees billed for professional services by PricewaterhouseCoopers LLP for financial statement audit and review services that are customary under generally accepted auditing standards or that are customary for the purpose of rendering an opinion on or review of the financial statements, and comfort letters, consents and assistance with review of documents relating to our registration statements on Form S-3 and Form S-8.</w:t>
            </w:r>
          </w:p>
        </w:tc>
      </w:tr>
    </w:tbl>
    <w:tbl>
      <w:tblPr>
        <w:tblW w:w="5000" w:type="pct"/>
        <w:jc w:val="left"/>
        <w:tblInd w:w="0" w:type="dxa"/>
        <w:tblLayout w:type="fixed"/>
        <w:tblCellMar>
          <w:top w:w="0" w:type="dxa"/>
          <w:left w:w="0" w:type="dxa"/>
          <w:bottom w:w="0" w:type="dxa"/>
          <w:right w:w="0" w:type="dxa"/>
        </w:tblCellMar>
      </w:tblPr>
      <w:tblGrid>
        <w:gridCol w:w="129"/>
        <w:gridCol w:w="607"/>
        <w:gridCol w:w="9469"/>
      </w:tblGrid>
      <w:tr>
        <w:trPr/>
        <w:tc>
          <w:tcPr>
            <w:tcW w:w="12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pPr>
            <w:r>
              <w:rPr/>
              <w:t>(2)</w:t>
            </w:r>
          </w:p>
        </w:tc>
        <w:tc>
          <w:tcPr>
            <w:tcW w:w="9469" w:type="dxa"/>
            <w:tcBorders/>
            <w:vAlign w:val="center"/>
          </w:tcPr>
          <w:p>
            <w:pPr>
              <w:pStyle w:val="TableContents"/>
              <w:bidi w:val="0"/>
              <w:spacing w:before="0" w:after="283"/>
              <w:jc w:val="both"/>
              <w:rPr/>
            </w:pPr>
            <w:r>
              <w:rPr/>
              <w:t>Tax fees consist of fees for tax compliance services.</w:t>
            </w:r>
          </w:p>
        </w:tc>
      </w:tr>
    </w:tbl>
    <w:tbl>
      <w:tblPr>
        <w:tblW w:w="5000" w:type="pct"/>
        <w:jc w:val="left"/>
        <w:tblInd w:w="0" w:type="dxa"/>
        <w:tblLayout w:type="fixed"/>
        <w:tblCellMar>
          <w:top w:w="0" w:type="dxa"/>
          <w:left w:w="0" w:type="dxa"/>
          <w:bottom w:w="0" w:type="dxa"/>
          <w:right w:w="0" w:type="dxa"/>
        </w:tblCellMar>
      </w:tblPr>
      <w:tblGrid>
        <w:gridCol w:w="67"/>
        <w:gridCol w:w="284"/>
        <w:gridCol w:w="9854"/>
      </w:tblGrid>
      <w:tr>
        <w:trPr/>
        <w:tc>
          <w:tcPr>
            <w:tcW w:w="6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(3)</w:t>
            </w:r>
          </w:p>
        </w:tc>
        <w:tc>
          <w:tcPr>
            <w:tcW w:w="9854" w:type="dxa"/>
            <w:tcBorders/>
            <w:vAlign w:val="center"/>
          </w:tcPr>
          <w:p>
            <w:pPr>
              <w:pStyle w:val="TableContents"/>
              <w:bidi w:val="0"/>
              <w:spacing w:before="0" w:after="283"/>
              <w:jc w:val="both"/>
              <w:rPr/>
            </w:pPr>
            <w:r>
              <w:rPr/>
              <w:t>Consist of fees for products and services other than the services described above. All other fees for fiscal years 2025 and 2024 were related to annual subscription for accounting literature.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 Independence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fiscal year ended December 31, 2025, there were no other professional services provided by PricewaterhouseCoopers LLP, other than those listed above, that would have required our Audit Committee to consider their compatibility with maintaining the independence of PricewaterhouseCoopers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Policies and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required to pre-approve the audit and non-audit services performed by our independent registered public accounting firm in order to assure that the provision of such services does not impair the auditor’s independence. Any proposed services exceeding pre-approved cost levels require specific pre-approval by our Audit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at least annually reviews and provides general pre-approval for the services that may be provided by the independent registered public accounting firm. The term of the general pre-approval is 12 months from the date of approval unless our Audit Committee specifically provides for a different period. If our Audit Committee has not provided general pre-approval, then the type of service requires specific pre-approval by our Audit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its charter, our Audit Committee has delegated pre-approval authority to the Chairperson of our Audit Committee so long as any such pre-approval decisions are presented to the full Audit Committee at its next scheduled meeting. All services performed and related fees billed by PricewaterhouseCoopers LLP during fiscal year 2025 were pre-approved by our Audit Committee pursuant to regulations of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9"/>
      <w:bookmarkEnd w:id="8"/>
      <w:r>
        <w:rPr>
          <w:rFonts w:ascii="Times New Roman;Times;Serif" w:hAnsi="Times New Roman;Times;Serif"/>
          <w:b/>
          <w:i w:val="false"/>
          <w:caps w:val="false"/>
          <w:smallCaps w:val="false"/>
          <w:sz w:val="20"/>
        </w:rPr>
        <w:t>PART IV</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6"/>
      <w:bookmarkEnd w:id="9"/>
      <w:r>
        <w:rPr>
          <w:rFonts w:ascii="Times New Roman;Times;Serif" w:hAnsi="Times New Roman;Times;Serif"/>
          <w:b/>
          <w:i w:val="false"/>
          <w:caps w:val="false"/>
          <w:smallCaps w:val="false"/>
          <w:sz w:val="20"/>
        </w:rPr>
        <w:t>ITEM 15. EXHIBITS,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are listed in the “Index to the Financial Statements” of Jasper Therapeutics, Inc. in Part II, Item 8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(a)(2)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statement schedules have been omitted because they are not required, not applicable, or the required information is included in the consolidated financial statements or notes thereto included in Part II, Item 8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(a)(3) Exhibits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herewith or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5"/>
        <w:gridCol w:w="90"/>
        <w:gridCol w:w="6202"/>
        <w:gridCol w:w="90"/>
        <w:gridCol w:w="530"/>
        <w:gridCol w:w="90"/>
        <w:gridCol w:w="839"/>
        <w:gridCol w:w="90"/>
        <w:gridCol w:w="702"/>
        <w:gridCol w:w="90"/>
        <w:gridCol w:w="727"/>
      </w:tblGrid>
      <w:tr>
        <w:trPr/>
        <w:tc>
          <w:tcPr>
            <w:tcW w:w="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68" w:type="dxa"/>
            <w:gridSpan w:val="7"/>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Incorporated by Reference</w:t>
            </w:r>
          </w:p>
        </w:tc>
      </w:tr>
      <w:tr>
        <w:trPr/>
        <w:tc>
          <w:tcPr>
            <w:tcW w:w="7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90" w:type="dxa"/>
            <w:tcBorders/>
            <w:vAlign w:val="center"/>
          </w:tcPr>
          <w:p>
            <w:pPr>
              <w:pStyle w:val="TableContents"/>
              <w:bidi w:val="0"/>
              <w:spacing w:before="0" w:after="283"/>
              <w:jc w:val="left"/>
              <w:rPr/>
            </w:pPr>
            <w:r>
              <w:rPr/>
              <w:t> </w:t>
            </w:r>
          </w:p>
        </w:tc>
        <w:tc>
          <w:tcPr>
            <w:tcW w:w="6202"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9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w:t>
            </w:r>
          </w:p>
        </w:tc>
        <w:tc>
          <w:tcPr>
            <w:tcW w:w="90" w:type="dxa"/>
            <w:tcBorders/>
            <w:vAlign w:val="center"/>
          </w:tcPr>
          <w:p>
            <w:pPr>
              <w:pStyle w:val="TableContents"/>
              <w:bidi w:val="0"/>
              <w:spacing w:before="0" w:after="283"/>
              <w:jc w:val="center"/>
              <w:rPr/>
            </w:pPr>
            <w:r>
              <w:rPr/>
              <w:t> </w:t>
            </w:r>
          </w:p>
        </w:tc>
        <w:tc>
          <w:tcPr>
            <w:tcW w:w="839"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w:t>
              <w:br/>
              <w:t>Number</w:t>
            </w:r>
          </w:p>
        </w:tc>
        <w:tc>
          <w:tcPr>
            <w:tcW w:w="90" w:type="dxa"/>
            <w:tcBorders/>
            <w:vAlign w:val="center"/>
          </w:tcPr>
          <w:p>
            <w:pPr>
              <w:pStyle w:val="TableContents"/>
              <w:bidi w:val="0"/>
              <w:spacing w:before="0" w:after="283"/>
              <w:jc w:val="center"/>
              <w:rPr/>
            </w:pPr>
            <w:r>
              <w:rPr/>
              <w:t> </w:t>
            </w:r>
          </w:p>
        </w:tc>
        <w:tc>
          <w:tcPr>
            <w:tcW w:w="702"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Filing</w:t>
              <w:br/>
              <w:t>Date</w:t>
            </w:r>
          </w:p>
        </w:tc>
        <w:tc>
          <w:tcPr>
            <w:tcW w:w="90" w:type="dxa"/>
            <w:tcBorders/>
            <w:vAlign w:val="center"/>
          </w:tcPr>
          <w:p>
            <w:pPr>
              <w:pStyle w:val="TableContents"/>
              <w:bidi w:val="0"/>
              <w:spacing w:before="0" w:after="283"/>
              <w:jc w:val="center"/>
              <w:rPr/>
            </w:pPr>
            <w:r>
              <w:rPr/>
              <w:t> </w:t>
            </w:r>
          </w:p>
        </w:tc>
        <w:tc>
          <w:tcPr>
            <w:tcW w:w="72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vAlign w:val="center"/>
          </w:tcPr>
          <w:p>
            <w:pPr>
              <w:pStyle w:val="TableContents"/>
              <w:bidi w:val="0"/>
              <w:spacing w:before="0" w:after="283"/>
              <w:jc w:val="left"/>
              <w:rPr/>
            </w:pPr>
            <w:r>
              <w:rPr/>
              <w:t> </w:t>
            </w:r>
          </w:p>
        </w:tc>
        <w:tc>
          <w:tcPr>
            <w:tcW w:w="6202" w:type="dxa"/>
            <w:tcBorders/>
            <w:shd w:fill="CCEEFF" w:val="clear"/>
            <w:vAlign w:val="center"/>
          </w:tcPr>
          <w:p>
            <w:pPr>
              <w:pStyle w:val="TableContents"/>
              <w:bidi w:val="0"/>
              <w:spacing w:before="0" w:after="283"/>
              <w:jc w:val="left"/>
              <w:rPr/>
            </w:pPr>
            <w:hyperlink r:id="rId2">
              <w:r>
                <w:rPr>
                  <w:rStyle w:val="InternetLink"/>
                  <w:rFonts w:ascii="Times New Roman;Times;Serif" w:hAnsi="Times New Roman;Times;Serif"/>
                  <w:sz w:val="20"/>
                </w:rPr>
                <w:t>Business Combination Agreement, dated as of May 5, 2021, by and among Amplitude Healthcare Acquisition Corporation, Ample Merger Sub, Inc., and Jasper Therapeutics, Inc.</w:t>
              </w:r>
            </w:hyperlink>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center"/>
              <w:rPr/>
            </w:pPr>
            <w:r>
              <w:rPr/>
              <w:t> </w:t>
            </w:r>
          </w:p>
        </w:tc>
        <w:tc>
          <w:tcPr>
            <w:tcW w:w="83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001-39138</w:t>
            </w:r>
          </w:p>
        </w:tc>
        <w:tc>
          <w:tcPr>
            <w:tcW w:w="90" w:type="dxa"/>
            <w:tcBorders/>
            <w:shd w:fill="CCEEFF" w:val="clear"/>
            <w:vAlign w:val="center"/>
          </w:tcPr>
          <w:p>
            <w:pPr>
              <w:pStyle w:val="TableContents"/>
              <w:bidi w:val="0"/>
              <w:spacing w:before="0" w:after="283"/>
              <w:jc w:val="center"/>
              <w:rPr/>
            </w:pPr>
            <w:r>
              <w:rPr/>
              <w:t> </w:t>
            </w:r>
          </w:p>
        </w:tc>
        <w:tc>
          <w:tcPr>
            <w:tcW w:w="70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5/6/2021</w:t>
            </w:r>
          </w:p>
        </w:tc>
        <w:tc>
          <w:tcPr>
            <w:tcW w:w="9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left"/>
              <w:rPr/>
            </w:pPr>
            <w:hyperlink r:id="rId3">
              <w:r>
                <w:rPr>
                  <w:rStyle w:val="InternetLink"/>
                  <w:rFonts w:ascii="Times New Roman;Times;Serif" w:hAnsi="Times New Roman;Times;Serif"/>
                  <w:sz w:val="20"/>
                </w:rPr>
                <w:t>Second Amended and Restated Certificate of Incorporation of the Registrant.</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center"/>
              <w:rPr/>
            </w:pPr>
            <w:r>
              <w:rPr/>
              <w:t> </w:t>
            </w:r>
          </w:p>
        </w:tc>
        <w:tc>
          <w:tcPr>
            <w:tcW w:w="83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001-39138</w:t>
            </w:r>
          </w:p>
        </w:tc>
        <w:tc>
          <w:tcPr>
            <w:tcW w:w="90" w:type="dxa"/>
            <w:tcBorders/>
            <w:vAlign w:val="center"/>
          </w:tcPr>
          <w:p>
            <w:pPr>
              <w:pStyle w:val="TableContents"/>
              <w:bidi w:val="0"/>
              <w:spacing w:before="0" w:after="283"/>
              <w:jc w:val="center"/>
              <w:rPr/>
            </w:pPr>
            <w:r>
              <w:rPr/>
              <w:t> </w:t>
            </w:r>
          </w:p>
        </w:tc>
        <w:tc>
          <w:tcPr>
            <w:tcW w:w="70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9/29/2021</w:t>
            </w:r>
          </w:p>
        </w:tc>
        <w:tc>
          <w:tcPr>
            <w:tcW w:w="9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90" w:type="dxa"/>
            <w:tcBorders/>
            <w:shd w:fill="CCEEFF" w:val="clear"/>
            <w:vAlign w:val="center"/>
          </w:tcPr>
          <w:p>
            <w:pPr>
              <w:pStyle w:val="TableContents"/>
              <w:bidi w:val="0"/>
              <w:spacing w:before="0" w:after="283"/>
              <w:jc w:val="left"/>
              <w:rPr/>
            </w:pPr>
            <w:r>
              <w:rPr/>
              <w:t> </w:t>
            </w:r>
          </w:p>
        </w:tc>
        <w:tc>
          <w:tcPr>
            <w:tcW w:w="6202" w:type="dxa"/>
            <w:tcBorders/>
            <w:shd w:fill="CCEEFF" w:val="clear"/>
            <w:vAlign w:val="center"/>
          </w:tcPr>
          <w:p>
            <w:pPr>
              <w:pStyle w:val="TableContents"/>
              <w:bidi w:val="0"/>
              <w:spacing w:before="0" w:after="283"/>
              <w:jc w:val="left"/>
              <w:rPr/>
            </w:pPr>
            <w:hyperlink r:id="rId4">
              <w:r>
                <w:rPr>
                  <w:rStyle w:val="InternetLink"/>
                  <w:rFonts w:ascii="Times New Roman;Times;Serif" w:hAnsi="Times New Roman;Times;Serif"/>
                  <w:sz w:val="20"/>
                </w:rPr>
                <w:t>Certificate of Amendment to the Second Amended and Restated Certificate of Incorporation, dated June 8, 2023.</w:t>
              </w:r>
            </w:hyperlink>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center"/>
              <w:rPr/>
            </w:pPr>
            <w:r>
              <w:rPr/>
              <w:t> </w:t>
            </w:r>
          </w:p>
        </w:tc>
        <w:tc>
          <w:tcPr>
            <w:tcW w:w="83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001-39138</w:t>
            </w:r>
          </w:p>
        </w:tc>
        <w:tc>
          <w:tcPr>
            <w:tcW w:w="90" w:type="dxa"/>
            <w:tcBorders/>
            <w:shd w:fill="CCEEFF" w:val="clear"/>
            <w:vAlign w:val="center"/>
          </w:tcPr>
          <w:p>
            <w:pPr>
              <w:pStyle w:val="TableContents"/>
              <w:bidi w:val="0"/>
              <w:spacing w:before="0" w:after="283"/>
              <w:jc w:val="center"/>
              <w:rPr/>
            </w:pPr>
            <w:r>
              <w:rPr/>
              <w:t> </w:t>
            </w:r>
          </w:p>
        </w:tc>
        <w:tc>
          <w:tcPr>
            <w:tcW w:w="70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6/8/2023</w:t>
            </w:r>
          </w:p>
        </w:tc>
        <w:tc>
          <w:tcPr>
            <w:tcW w:w="9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9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left"/>
              <w:rPr/>
            </w:pPr>
            <w:hyperlink r:id="rId5">
              <w:r>
                <w:rPr>
                  <w:rStyle w:val="InternetLink"/>
                  <w:rFonts w:ascii="Times New Roman;Times;Serif" w:hAnsi="Times New Roman;Times;Serif"/>
                  <w:sz w:val="20"/>
                </w:rPr>
                <w:t>Certificate of Second Amendment to the Second Amended and Restated Certificate of Incorporation of Jasper Therapeutics, Inc., filed with the Secretary of State of the State of Delaware on January 3, 2024.</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center"/>
              <w:rPr/>
            </w:pPr>
            <w:r>
              <w:rPr/>
              <w:t> </w:t>
            </w:r>
          </w:p>
        </w:tc>
        <w:tc>
          <w:tcPr>
            <w:tcW w:w="83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001-39138</w:t>
            </w:r>
          </w:p>
        </w:tc>
        <w:tc>
          <w:tcPr>
            <w:tcW w:w="90" w:type="dxa"/>
            <w:tcBorders/>
            <w:vAlign w:val="center"/>
          </w:tcPr>
          <w:p>
            <w:pPr>
              <w:pStyle w:val="TableContents"/>
              <w:bidi w:val="0"/>
              <w:spacing w:before="0" w:after="283"/>
              <w:jc w:val="center"/>
              <w:rPr/>
            </w:pPr>
            <w:r>
              <w:rPr/>
              <w:t> </w:t>
            </w:r>
          </w:p>
        </w:tc>
        <w:tc>
          <w:tcPr>
            <w:tcW w:w="70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1/3/2024</w:t>
            </w:r>
          </w:p>
        </w:tc>
        <w:tc>
          <w:tcPr>
            <w:tcW w:w="9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90" w:type="dxa"/>
            <w:tcBorders/>
            <w:shd w:fill="CCEEFF" w:val="clear"/>
            <w:vAlign w:val="center"/>
          </w:tcPr>
          <w:p>
            <w:pPr>
              <w:pStyle w:val="TableContents"/>
              <w:bidi w:val="0"/>
              <w:spacing w:before="0" w:after="283"/>
              <w:jc w:val="left"/>
              <w:rPr/>
            </w:pPr>
            <w:r>
              <w:rPr/>
              <w:t> </w:t>
            </w:r>
          </w:p>
        </w:tc>
        <w:tc>
          <w:tcPr>
            <w:tcW w:w="6202" w:type="dxa"/>
            <w:tcBorders/>
            <w:shd w:fill="CCEEFF" w:val="clear"/>
            <w:vAlign w:val="center"/>
          </w:tcPr>
          <w:p>
            <w:pPr>
              <w:pStyle w:val="TableContents"/>
              <w:bidi w:val="0"/>
              <w:spacing w:before="0" w:after="283"/>
              <w:jc w:val="left"/>
              <w:rPr/>
            </w:pPr>
            <w:hyperlink r:id="rId6">
              <w:r>
                <w:rPr>
                  <w:rStyle w:val="InternetLink"/>
                  <w:rFonts w:ascii="Times New Roman;Times;Serif" w:hAnsi="Times New Roman;Times;Serif"/>
                  <w:sz w:val="20"/>
                </w:rPr>
                <w:t>Third Amended and Restated Bylaws of the Registrant.</w:t>
              </w:r>
            </w:hyperlink>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center"/>
              <w:rPr/>
            </w:pPr>
            <w:r>
              <w:rPr/>
              <w:t> </w:t>
            </w:r>
          </w:p>
        </w:tc>
        <w:tc>
          <w:tcPr>
            <w:tcW w:w="83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001-39138</w:t>
            </w:r>
          </w:p>
        </w:tc>
        <w:tc>
          <w:tcPr>
            <w:tcW w:w="90" w:type="dxa"/>
            <w:tcBorders/>
            <w:shd w:fill="CCEEFF" w:val="clear"/>
            <w:vAlign w:val="center"/>
          </w:tcPr>
          <w:p>
            <w:pPr>
              <w:pStyle w:val="TableContents"/>
              <w:bidi w:val="0"/>
              <w:spacing w:before="0" w:after="283"/>
              <w:jc w:val="center"/>
              <w:rPr/>
            </w:pPr>
            <w:r>
              <w:rPr/>
              <w:t> </w:t>
            </w:r>
          </w:p>
        </w:tc>
        <w:tc>
          <w:tcPr>
            <w:tcW w:w="70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2/17/2023</w:t>
            </w:r>
          </w:p>
        </w:tc>
        <w:tc>
          <w:tcPr>
            <w:tcW w:w="9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left"/>
              <w:rPr/>
            </w:pPr>
            <w:hyperlink r:id="rId7">
              <w:r>
                <w:rPr>
                  <w:rStyle w:val="InternetLink"/>
                  <w:rFonts w:ascii="Times New Roman;Times;Serif" w:hAnsi="Times New Roman;Times;Serif"/>
                  <w:sz w:val="20"/>
                </w:rPr>
                <w:t>Form of Warrant Agreement, dated November 19, 2019, by and between the Registrant and Continental Stock Transfer &amp; Trust Company, as warrant agent.</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center"/>
              <w:rPr/>
            </w:pPr>
            <w:r>
              <w:rPr/>
              <w:t> </w:t>
            </w:r>
          </w:p>
        </w:tc>
        <w:tc>
          <w:tcPr>
            <w:tcW w:w="83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001-39138</w:t>
            </w:r>
          </w:p>
        </w:tc>
        <w:tc>
          <w:tcPr>
            <w:tcW w:w="90" w:type="dxa"/>
            <w:tcBorders/>
            <w:vAlign w:val="center"/>
          </w:tcPr>
          <w:p>
            <w:pPr>
              <w:pStyle w:val="TableContents"/>
              <w:bidi w:val="0"/>
              <w:spacing w:before="0" w:after="283"/>
              <w:jc w:val="center"/>
              <w:rPr/>
            </w:pPr>
            <w:r>
              <w:rPr/>
              <w:t> </w:t>
            </w:r>
          </w:p>
        </w:tc>
        <w:tc>
          <w:tcPr>
            <w:tcW w:w="70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11/25/2019</w:t>
            </w:r>
          </w:p>
        </w:tc>
        <w:tc>
          <w:tcPr>
            <w:tcW w:w="9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90" w:type="dxa"/>
            <w:tcBorders/>
            <w:shd w:fill="CCEEFF" w:val="clear"/>
            <w:vAlign w:val="center"/>
          </w:tcPr>
          <w:p>
            <w:pPr>
              <w:pStyle w:val="TableContents"/>
              <w:bidi w:val="0"/>
              <w:spacing w:before="0" w:after="283"/>
              <w:jc w:val="left"/>
              <w:rPr/>
            </w:pPr>
            <w:r>
              <w:rPr/>
              <w:t> </w:t>
            </w:r>
          </w:p>
        </w:tc>
        <w:tc>
          <w:tcPr>
            <w:tcW w:w="6202" w:type="dxa"/>
            <w:tcBorders/>
            <w:shd w:fill="CCEEFF" w:val="clear"/>
            <w:vAlign w:val="center"/>
          </w:tcPr>
          <w:p>
            <w:pPr>
              <w:pStyle w:val="TableContents"/>
              <w:bidi w:val="0"/>
              <w:spacing w:before="0" w:after="283"/>
              <w:jc w:val="left"/>
              <w:rPr/>
            </w:pPr>
            <w:hyperlink r:id="rId8">
              <w:r>
                <w:rPr>
                  <w:rStyle w:val="InternetLink"/>
                  <w:rFonts w:ascii="Times New Roman;Times;Serif" w:hAnsi="Times New Roman;Times;Serif"/>
                  <w:sz w:val="20"/>
                </w:rPr>
                <w:t>Specimen Warrant Certificate.</w:t>
              </w:r>
            </w:hyperlink>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S-1/A</w:t>
            </w:r>
          </w:p>
        </w:tc>
        <w:tc>
          <w:tcPr>
            <w:tcW w:w="90" w:type="dxa"/>
            <w:tcBorders/>
            <w:shd w:fill="CCEEFF" w:val="clear"/>
            <w:vAlign w:val="center"/>
          </w:tcPr>
          <w:p>
            <w:pPr>
              <w:pStyle w:val="TableContents"/>
              <w:bidi w:val="0"/>
              <w:spacing w:before="0" w:after="283"/>
              <w:jc w:val="center"/>
              <w:rPr/>
            </w:pPr>
            <w:r>
              <w:rPr/>
              <w:t> </w:t>
            </w:r>
          </w:p>
        </w:tc>
        <w:tc>
          <w:tcPr>
            <w:tcW w:w="83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333-234324</w:t>
            </w:r>
          </w:p>
        </w:tc>
        <w:tc>
          <w:tcPr>
            <w:tcW w:w="90" w:type="dxa"/>
            <w:tcBorders/>
            <w:shd w:fill="CCEEFF" w:val="clear"/>
            <w:vAlign w:val="center"/>
          </w:tcPr>
          <w:p>
            <w:pPr>
              <w:pStyle w:val="TableContents"/>
              <w:bidi w:val="0"/>
              <w:spacing w:before="0" w:after="283"/>
              <w:jc w:val="center"/>
              <w:rPr/>
            </w:pPr>
            <w:r>
              <w:rPr/>
              <w:t> </w:t>
            </w:r>
          </w:p>
        </w:tc>
        <w:tc>
          <w:tcPr>
            <w:tcW w:w="70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11/6/2019</w:t>
            </w:r>
          </w:p>
        </w:tc>
        <w:tc>
          <w:tcPr>
            <w:tcW w:w="9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9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left"/>
              <w:rPr/>
            </w:pPr>
            <w:hyperlink r:id="rId9">
              <w:r>
                <w:rPr>
                  <w:rStyle w:val="InternetLink"/>
                  <w:rFonts w:ascii="Times New Roman;Times;Serif" w:hAnsi="Times New Roman;Times;Serif"/>
                  <w:sz w:val="20"/>
                </w:rPr>
                <w:t>Form of Pre-Funded Warrant to Purchase Common Stock.</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center"/>
              <w:rPr/>
            </w:pPr>
            <w:r>
              <w:rPr/>
              <w:t> </w:t>
            </w:r>
          </w:p>
        </w:tc>
        <w:tc>
          <w:tcPr>
            <w:tcW w:w="83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001-39138</w:t>
            </w:r>
          </w:p>
        </w:tc>
        <w:tc>
          <w:tcPr>
            <w:tcW w:w="90" w:type="dxa"/>
            <w:tcBorders/>
            <w:vAlign w:val="center"/>
          </w:tcPr>
          <w:p>
            <w:pPr>
              <w:pStyle w:val="TableContents"/>
              <w:bidi w:val="0"/>
              <w:spacing w:before="0" w:after="283"/>
              <w:jc w:val="center"/>
              <w:rPr/>
            </w:pPr>
            <w:r>
              <w:rPr/>
              <w:t> </w:t>
            </w:r>
          </w:p>
        </w:tc>
        <w:tc>
          <w:tcPr>
            <w:tcW w:w="70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9/19/2025</w:t>
            </w:r>
          </w:p>
        </w:tc>
        <w:tc>
          <w:tcPr>
            <w:tcW w:w="9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90" w:type="dxa"/>
            <w:tcBorders/>
            <w:shd w:fill="CCEEFF" w:val="clear"/>
            <w:vAlign w:val="center"/>
          </w:tcPr>
          <w:p>
            <w:pPr>
              <w:pStyle w:val="TableContents"/>
              <w:bidi w:val="0"/>
              <w:spacing w:before="0" w:after="283"/>
              <w:jc w:val="left"/>
              <w:rPr/>
            </w:pPr>
            <w:r>
              <w:rPr/>
              <w:t> </w:t>
            </w:r>
          </w:p>
        </w:tc>
        <w:tc>
          <w:tcPr>
            <w:tcW w:w="6202" w:type="dxa"/>
            <w:tcBorders/>
            <w:shd w:fill="CCEEFF" w:val="clear"/>
            <w:vAlign w:val="center"/>
          </w:tcPr>
          <w:p>
            <w:pPr>
              <w:pStyle w:val="TableContents"/>
              <w:bidi w:val="0"/>
              <w:spacing w:before="0" w:after="283"/>
              <w:jc w:val="left"/>
              <w:rPr/>
            </w:pPr>
            <w:hyperlink r:id="rId10">
              <w:r>
                <w:rPr>
                  <w:rStyle w:val="InternetLink"/>
                  <w:rFonts w:ascii="Times New Roman;Times;Serif" w:hAnsi="Times New Roman;Times;Serif"/>
                  <w:sz w:val="20"/>
                </w:rPr>
                <w:t>Form of Common Warrant.</w:t>
              </w:r>
            </w:hyperlink>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center"/>
              <w:rPr/>
            </w:pPr>
            <w:r>
              <w:rPr/>
              <w:t> </w:t>
            </w:r>
          </w:p>
        </w:tc>
        <w:tc>
          <w:tcPr>
            <w:tcW w:w="83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001-39138</w:t>
            </w:r>
          </w:p>
        </w:tc>
        <w:tc>
          <w:tcPr>
            <w:tcW w:w="90" w:type="dxa"/>
            <w:tcBorders/>
            <w:shd w:fill="CCEEFF" w:val="clear"/>
            <w:vAlign w:val="center"/>
          </w:tcPr>
          <w:p>
            <w:pPr>
              <w:pStyle w:val="TableContents"/>
              <w:bidi w:val="0"/>
              <w:spacing w:before="0" w:after="283"/>
              <w:jc w:val="center"/>
              <w:rPr/>
            </w:pPr>
            <w:r>
              <w:rPr/>
              <w:t> </w:t>
            </w:r>
          </w:p>
        </w:tc>
        <w:tc>
          <w:tcPr>
            <w:tcW w:w="70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9/19/2025</w:t>
            </w:r>
          </w:p>
        </w:tc>
        <w:tc>
          <w:tcPr>
            <w:tcW w:w="9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9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left"/>
              <w:rPr/>
            </w:pPr>
            <w:hyperlink r:id="rId11">
              <w:r>
                <w:rPr>
                  <w:rStyle w:val="InternetLink"/>
                  <w:rFonts w:ascii="Times New Roman;Times;Serif" w:hAnsi="Times New Roman;Times;Serif"/>
                  <w:sz w:val="20"/>
                </w:rPr>
                <w:t>Description of Securities of Jasper Therapeutics, Inc.</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 </w:t>
            </w:r>
          </w:p>
        </w:tc>
        <w:tc>
          <w:tcPr>
            <w:tcW w:w="90" w:type="dxa"/>
            <w:tcBorders/>
            <w:vAlign w:val="center"/>
          </w:tcPr>
          <w:p>
            <w:pPr>
              <w:pStyle w:val="TableContents"/>
              <w:bidi w:val="0"/>
              <w:spacing w:before="0" w:after="283"/>
              <w:jc w:val="center"/>
              <w:rPr/>
            </w:pPr>
            <w:r>
              <w:rPr/>
              <w:t> </w:t>
            </w:r>
          </w:p>
        </w:tc>
        <w:tc>
          <w:tcPr>
            <w:tcW w:w="839" w:type="dxa"/>
            <w:tcBorders/>
            <w:vAlign w:val="center"/>
          </w:tcPr>
          <w:p>
            <w:pPr>
              <w:pStyle w:val="TableContents"/>
              <w:bidi w:val="0"/>
              <w:spacing w:before="0" w:after="283"/>
              <w:jc w:val="center"/>
              <w:rPr/>
            </w:pPr>
            <w:r>
              <w:rPr/>
              <w:t> </w:t>
            </w:r>
            <w:r>
              <w:rPr>
                <w:rFonts w:ascii="Times New Roman;Times;Serif" w:hAnsi="Times New Roman;Times;Serif"/>
                <w:sz w:val="20"/>
              </w:rPr>
              <w:t>001-3913</w:t>
            </w:r>
          </w:p>
        </w:tc>
        <w:tc>
          <w:tcPr>
            <w:tcW w:w="90" w:type="dxa"/>
            <w:tcBorders/>
            <w:vAlign w:val="center"/>
          </w:tcPr>
          <w:p>
            <w:pPr>
              <w:pStyle w:val="TableContents"/>
              <w:bidi w:val="0"/>
              <w:spacing w:before="0" w:after="283"/>
              <w:jc w:val="center"/>
              <w:rPr/>
            </w:pPr>
            <w:r>
              <w:rPr/>
              <w:t> </w:t>
            </w:r>
          </w:p>
        </w:tc>
        <w:tc>
          <w:tcPr>
            <w:tcW w:w="70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3/30/2026</w:t>
            </w:r>
          </w:p>
        </w:tc>
        <w:tc>
          <w:tcPr>
            <w:tcW w:w="9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6202" w:type="dxa"/>
            <w:tcBorders/>
            <w:shd w:fill="CCEEFF" w:val="clear"/>
            <w:vAlign w:val="center"/>
          </w:tcPr>
          <w:p>
            <w:pPr>
              <w:pStyle w:val="TableContents"/>
              <w:bidi w:val="0"/>
              <w:spacing w:before="0" w:after="283"/>
              <w:jc w:val="left"/>
              <w:rPr/>
            </w:pPr>
            <w:hyperlink r:id="rId12">
              <w:r>
                <w:rPr>
                  <w:rStyle w:val="InternetLink"/>
                  <w:rFonts w:ascii="Times New Roman;Times;Serif" w:hAnsi="Times New Roman;Times;Serif"/>
                  <w:sz w:val="20"/>
                </w:rPr>
                <w:t>Jasper Therapeutics, Inc. 2021 Equity Incentive Plan </w:t>
              </w:r>
            </w:hyperlink>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center"/>
              <w:rPr/>
            </w:pPr>
            <w:r>
              <w:rPr/>
              <w:t> </w:t>
            </w:r>
          </w:p>
        </w:tc>
        <w:tc>
          <w:tcPr>
            <w:tcW w:w="83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001-39138</w:t>
            </w:r>
          </w:p>
        </w:tc>
        <w:tc>
          <w:tcPr>
            <w:tcW w:w="90" w:type="dxa"/>
            <w:tcBorders/>
            <w:shd w:fill="CCEEFF" w:val="clear"/>
            <w:vAlign w:val="center"/>
          </w:tcPr>
          <w:p>
            <w:pPr>
              <w:pStyle w:val="TableContents"/>
              <w:bidi w:val="0"/>
              <w:spacing w:before="0" w:after="283"/>
              <w:jc w:val="center"/>
              <w:rPr/>
            </w:pPr>
            <w:r>
              <w:rPr/>
              <w:t> </w:t>
            </w:r>
          </w:p>
        </w:tc>
        <w:tc>
          <w:tcPr>
            <w:tcW w:w="70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9/29/2021</w:t>
            </w:r>
          </w:p>
        </w:tc>
        <w:tc>
          <w:tcPr>
            <w:tcW w:w="9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9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left"/>
              <w:rPr/>
            </w:pPr>
            <w:hyperlink r:id="rId13">
              <w:r>
                <w:rPr>
                  <w:rStyle w:val="InternetLink"/>
                  <w:rFonts w:ascii="Times New Roman;Times;Serif" w:hAnsi="Times New Roman;Times;Serif"/>
                  <w:sz w:val="20"/>
                </w:rPr>
                <w:t>Amended and Restated Registration Rights Agreement, dated September 24, 2021.</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center"/>
              <w:rPr/>
            </w:pPr>
            <w:r>
              <w:rPr/>
              <w:t> </w:t>
            </w:r>
          </w:p>
        </w:tc>
        <w:tc>
          <w:tcPr>
            <w:tcW w:w="83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001-39138</w:t>
            </w:r>
          </w:p>
        </w:tc>
        <w:tc>
          <w:tcPr>
            <w:tcW w:w="90" w:type="dxa"/>
            <w:tcBorders/>
            <w:vAlign w:val="center"/>
          </w:tcPr>
          <w:p>
            <w:pPr>
              <w:pStyle w:val="TableContents"/>
              <w:bidi w:val="0"/>
              <w:spacing w:before="0" w:after="283"/>
              <w:jc w:val="center"/>
              <w:rPr/>
            </w:pPr>
            <w:r>
              <w:rPr/>
              <w:t> </w:t>
            </w:r>
          </w:p>
        </w:tc>
        <w:tc>
          <w:tcPr>
            <w:tcW w:w="70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9/29/2021</w:t>
            </w:r>
          </w:p>
        </w:tc>
        <w:tc>
          <w:tcPr>
            <w:tcW w:w="9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90" w:type="dxa"/>
            <w:tcBorders/>
            <w:shd w:fill="CCEEFF" w:val="clear"/>
            <w:vAlign w:val="center"/>
          </w:tcPr>
          <w:p>
            <w:pPr>
              <w:pStyle w:val="TableContents"/>
              <w:bidi w:val="0"/>
              <w:spacing w:before="0" w:after="283"/>
              <w:jc w:val="left"/>
              <w:rPr/>
            </w:pPr>
            <w:r>
              <w:rPr/>
              <w:t> </w:t>
            </w:r>
          </w:p>
        </w:tc>
        <w:tc>
          <w:tcPr>
            <w:tcW w:w="6202" w:type="dxa"/>
            <w:tcBorders/>
            <w:shd w:fill="CCEEFF" w:val="clear"/>
            <w:vAlign w:val="center"/>
          </w:tcPr>
          <w:p>
            <w:pPr>
              <w:pStyle w:val="TableContents"/>
              <w:bidi w:val="0"/>
              <w:spacing w:before="0" w:after="283"/>
              <w:jc w:val="left"/>
              <w:rPr/>
            </w:pPr>
            <w:hyperlink r:id="rId14">
              <w:r>
                <w:rPr>
                  <w:rStyle w:val="InternetLink"/>
                  <w:rFonts w:ascii="Times New Roman;Times;Serif" w:hAnsi="Times New Roman;Times;Serif"/>
                  <w:sz w:val="20"/>
                </w:rPr>
                <w:t>Jasper Therapeutics, Inc. 2024 Equity Incentive Plan.</w:t>
              </w:r>
            </w:hyperlink>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S-8</w:t>
            </w:r>
          </w:p>
        </w:tc>
        <w:tc>
          <w:tcPr>
            <w:tcW w:w="90" w:type="dxa"/>
            <w:tcBorders/>
            <w:shd w:fill="CCEEFF" w:val="clear"/>
            <w:vAlign w:val="center"/>
          </w:tcPr>
          <w:p>
            <w:pPr>
              <w:pStyle w:val="TableContents"/>
              <w:bidi w:val="0"/>
              <w:spacing w:before="0" w:after="283"/>
              <w:jc w:val="center"/>
              <w:rPr/>
            </w:pPr>
            <w:r>
              <w:rPr/>
              <w:t> </w:t>
            </w:r>
          </w:p>
        </w:tc>
        <w:tc>
          <w:tcPr>
            <w:tcW w:w="83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333-280039</w:t>
            </w:r>
          </w:p>
        </w:tc>
        <w:tc>
          <w:tcPr>
            <w:tcW w:w="90" w:type="dxa"/>
            <w:tcBorders/>
            <w:shd w:fill="CCEEFF" w:val="clear"/>
            <w:vAlign w:val="center"/>
          </w:tcPr>
          <w:p>
            <w:pPr>
              <w:pStyle w:val="TableContents"/>
              <w:bidi w:val="0"/>
              <w:spacing w:before="0" w:after="283"/>
              <w:jc w:val="center"/>
              <w:rPr/>
            </w:pPr>
            <w:r>
              <w:rPr/>
              <w:t> </w:t>
            </w:r>
          </w:p>
        </w:tc>
        <w:tc>
          <w:tcPr>
            <w:tcW w:w="70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6/7/2024</w:t>
            </w:r>
          </w:p>
        </w:tc>
        <w:tc>
          <w:tcPr>
            <w:tcW w:w="9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left"/>
              <w:rPr/>
            </w:pPr>
            <w:hyperlink r:id="rId15">
              <w:r>
                <w:rPr>
                  <w:rStyle w:val="InternetLink"/>
                  <w:rFonts w:ascii="Times New Roman;Times;Serif" w:hAnsi="Times New Roman;Times;Serif"/>
                  <w:sz w:val="20"/>
                </w:rPr>
                <w:t>Form of Stock Option Award Agreement under the Jasper Therapeutics, Inc. 2024 Equity Incentive Plan.</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S-8</w:t>
            </w:r>
          </w:p>
        </w:tc>
        <w:tc>
          <w:tcPr>
            <w:tcW w:w="90" w:type="dxa"/>
            <w:tcBorders/>
            <w:vAlign w:val="center"/>
          </w:tcPr>
          <w:p>
            <w:pPr>
              <w:pStyle w:val="TableContents"/>
              <w:bidi w:val="0"/>
              <w:spacing w:before="0" w:after="283"/>
              <w:jc w:val="center"/>
              <w:rPr/>
            </w:pPr>
            <w:r>
              <w:rPr/>
              <w:t> </w:t>
            </w:r>
          </w:p>
        </w:tc>
        <w:tc>
          <w:tcPr>
            <w:tcW w:w="83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333-280039</w:t>
            </w:r>
          </w:p>
        </w:tc>
        <w:tc>
          <w:tcPr>
            <w:tcW w:w="90" w:type="dxa"/>
            <w:tcBorders/>
            <w:vAlign w:val="center"/>
          </w:tcPr>
          <w:p>
            <w:pPr>
              <w:pStyle w:val="TableContents"/>
              <w:bidi w:val="0"/>
              <w:spacing w:before="0" w:after="283"/>
              <w:jc w:val="center"/>
              <w:rPr/>
            </w:pPr>
            <w:r>
              <w:rPr/>
              <w:t> </w:t>
            </w:r>
          </w:p>
        </w:tc>
        <w:tc>
          <w:tcPr>
            <w:tcW w:w="70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6/7/2024</w:t>
            </w:r>
          </w:p>
        </w:tc>
        <w:tc>
          <w:tcPr>
            <w:tcW w:w="9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90" w:type="dxa"/>
            <w:tcBorders/>
            <w:shd w:fill="CCEEFF" w:val="clear"/>
            <w:vAlign w:val="center"/>
          </w:tcPr>
          <w:p>
            <w:pPr>
              <w:pStyle w:val="TableContents"/>
              <w:bidi w:val="0"/>
              <w:spacing w:before="0" w:after="283"/>
              <w:jc w:val="left"/>
              <w:rPr/>
            </w:pPr>
            <w:r>
              <w:rPr/>
              <w:t> </w:t>
            </w:r>
          </w:p>
        </w:tc>
        <w:tc>
          <w:tcPr>
            <w:tcW w:w="6202" w:type="dxa"/>
            <w:tcBorders/>
            <w:shd w:fill="CCEEFF" w:val="clear"/>
            <w:vAlign w:val="center"/>
          </w:tcPr>
          <w:p>
            <w:pPr>
              <w:pStyle w:val="TableContents"/>
              <w:bidi w:val="0"/>
              <w:spacing w:before="0" w:after="283"/>
              <w:jc w:val="left"/>
              <w:rPr/>
            </w:pPr>
            <w:hyperlink r:id="rId16">
              <w:r>
                <w:rPr>
                  <w:rStyle w:val="InternetLink"/>
                  <w:rFonts w:ascii="Times New Roman;Times;Serif" w:hAnsi="Times New Roman;Times;Serif"/>
                  <w:sz w:val="20"/>
                </w:rPr>
                <w:t>Form of Restricted Stock Unit Award Agreement under the Jasper Therapeutics, Inc. 2024 Equity Incentive Plan.</w:t>
              </w:r>
            </w:hyperlink>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S-8</w:t>
            </w:r>
          </w:p>
        </w:tc>
        <w:tc>
          <w:tcPr>
            <w:tcW w:w="90" w:type="dxa"/>
            <w:tcBorders/>
            <w:shd w:fill="CCEEFF" w:val="clear"/>
            <w:vAlign w:val="center"/>
          </w:tcPr>
          <w:p>
            <w:pPr>
              <w:pStyle w:val="TableContents"/>
              <w:bidi w:val="0"/>
              <w:spacing w:before="0" w:after="283"/>
              <w:jc w:val="center"/>
              <w:rPr/>
            </w:pPr>
            <w:r>
              <w:rPr/>
              <w:t> </w:t>
            </w:r>
          </w:p>
        </w:tc>
        <w:tc>
          <w:tcPr>
            <w:tcW w:w="83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333-280039</w:t>
            </w:r>
          </w:p>
        </w:tc>
        <w:tc>
          <w:tcPr>
            <w:tcW w:w="90" w:type="dxa"/>
            <w:tcBorders/>
            <w:shd w:fill="CCEEFF" w:val="clear"/>
            <w:vAlign w:val="center"/>
          </w:tcPr>
          <w:p>
            <w:pPr>
              <w:pStyle w:val="TableContents"/>
              <w:bidi w:val="0"/>
              <w:spacing w:before="0" w:after="283"/>
              <w:jc w:val="center"/>
              <w:rPr/>
            </w:pPr>
            <w:r>
              <w:rPr/>
              <w:t> </w:t>
            </w:r>
          </w:p>
        </w:tc>
        <w:tc>
          <w:tcPr>
            <w:tcW w:w="70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6/7/2024</w:t>
            </w:r>
          </w:p>
        </w:tc>
        <w:tc>
          <w:tcPr>
            <w:tcW w:w="9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9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left"/>
              <w:rPr/>
            </w:pPr>
            <w:hyperlink r:id="rId17">
              <w:r>
                <w:rPr>
                  <w:rStyle w:val="InternetLink"/>
                  <w:rFonts w:ascii="Times New Roman;Times;Serif" w:hAnsi="Times New Roman;Times;Serif"/>
                  <w:sz w:val="20"/>
                </w:rPr>
                <w:t>Form of Restricted Stock Award Agreement under the Jasper Therapeutics, Inc. 2024 Equity Incentive Plan.</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S-8</w:t>
            </w:r>
          </w:p>
        </w:tc>
        <w:tc>
          <w:tcPr>
            <w:tcW w:w="90" w:type="dxa"/>
            <w:tcBorders/>
            <w:vAlign w:val="center"/>
          </w:tcPr>
          <w:p>
            <w:pPr>
              <w:pStyle w:val="TableContents"/>
              <w:bidi w:val="0"/>
              <w:spacing w:before="0" w:after="283"/>
              <w:jc w:val="center"/>
              <w:rPr/>
            </w:pPr>
            <w:r>
              <w:rPr/>
              <w:t> </w:t>
            </w:r>
          </w:p>
        </w:tc>
        <w:tc>
          <w:tcPr>
            <w:tcW w:w="83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333-280039</w:t>
            </w:r>
          </w:p>
        </w:tc>
        <w:tc>
          <w:tcPr>
            <w:tcW w:w="90" w:type="dxa"/>
            <w:tcBorders/>
            <w:vAlign w:val="center"/>
          </w:tcPr>
          <w:p>
            <w:pPr>
              <w:pStyle w:val="TableContents"/>
              <w:bidi w:val="0"/>
              <w:spacing w:before="0" w:after="283"/>
              <w:jc w:val="center"/>
              <w:rPr/>
            </w:pPr>
            <w:r>
              <w:rPr/>
              <w:t> </w:t>
            </w:r>
          </w:p>
        </w:tc>
        <w:tc>
          <w:tcPr>
            <w:tcW w:w="70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6/7/2024</w:t>
            </w:r>
          </w:p>
        </w:tc>
        <w:tc>
          <w:tcPr>
            <w:tcW w:w="9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90" w:type="dxa"/>
            <w:tcBorders/>
            <w:shd w:fill="CCEEFF" w:val="clear"/>
            <w:vAlign w:val="center"/>
          </w:tcPr>
          <w:p>
            <w:pPr>
              <w:pStyle w:val="TableContents"/>
              <w:bidi w:val="0"/>
              <w:spacing w:before="0" w:after="283"/>
              <w:jc w:val="left"/>
              <w:rPr/>
            </w:pPr>
            <w:r>
              <w:rPr/>
              <w:t> </w:t>
            </w:r>
          </w:p>
        </w:tc>
        <w:tc>
          <w:tcPr>
            <w:tcW w:w="6202" w:type="dxa"/>
            <w:tcBorders/>
            <w:shd w:fill="CCEEFF" w:val="clear"/>
            <w:vAlign w:val="center"/>
          </w:tcPr>
          <w:p>
            <w:pPr>
              <w:pStyle w:val="TableContents"/>
              <w:bidi w:val="0"/>
              <w:spacing w:before="0" w:after="283"/>
              <w:jc w:val="left"/>
              <w:rPr/>
            </w:pPr>
            <w:hyperlink r:id="rId18">
              <w:r>
                <w:rPr>
                  <w:rStyle w:val="InternetLink"/>
                  <w:rFonts w:ascii="Times New Roman;Times;Serif" w:hAnsi="Times New Roman;Times;Serif"/>
                  <w:sz w:val="20"/>
                </w:rPr>
                <w:t>Jasper Therapeutics, Inc. 2024 Employee Stock Purchase Plan.</w:t>
              </w:r>
            </w:hyperlink>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S-8</w:t>
            </w:r>
          </w:p>
        </w:tc>
        <w:tc>
          <w:tcPr>
            <w:tcW w:w="90" w:type="dxa"/>
            <w:tcBorders/>
            <w:shd w:fill="CCEEFF" w:val="clear"/>
            <w:vAlign w:val="center"/>
          </w:tcPr>
          <w:p>
            <w:pPr>
              <w:pStyle w:val="TableContents"/>
              <w:bidi w:val="0"/>
              <w:spacing w:before="0" w:after="283"/>
              <w:jc w:val="center"/>
              <w:rPr/>
            </w:pPr>
            <w:r>
              <w:rPr/>
              <w:t> </w:t>
            </w:r>
          </w:p>
        </w:tc>
        <w:tc>
          <w:tcPr>
            <w:tcW w:w="83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333-280039</w:t>
            </w:r>
          </w:p>
        </w:tc>
        <w:tc>
          <w:tcPr>
            <w:tcW w:w="90" w:type="dxa"/>
            <w:tcBorders/>
            <w:shd w:fill="CCEEFF" w:val="clear"/>
            <w:vAlign w:val="center"/>
          </w:tcPr>
          <w:p>
            <w:pPr>
              <w:pStyle w:val="TableContents"/>
              <w:bidi w:val="0"/>
              <w:spacing w:before="0" w:after="283"/>
              <w:jc w:val="center"/>
              <w:rPr/>
            </w:pPr>
            <w:r>
              <w:rPr/>
              <w:t> </w:t>
            </w:r>
          </w:p>
        </w:tc>
        <w:tc>
          <w:tcPr>
            <w:tcW w:w="70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6/7/2024</w:t>
            </w:r>
          </w:p>
        </w:tc>
        <w:tc>
          <w:tcPr>
            <w:tcW w:w="9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6"/>
        <w:gridCol w:w="90"/>
        <w:gridCol w:w="6917"/>
        <w:gridCol w:w="90"/>
        <w:gridCol w:w="368"/>
        <w:gridCol w:w="90"/>
        <w:gridCol w:w="773"/>
        <w:gridCol w:w="90"/>
        <w:gridCol w:w="578"/>
        <w:gridCol w:w="90"/>
        <w:gridCol w:w="563"/>
      </w:tblGrid>
      <w:tr>
        <w:trPr/>
        <w:tc>
          <w:tcPr>
            <w:tcW w:w="5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90" w:type="dxa"/>
            <w:tcBorders/>
            <w:shd w:fill="CCEEFF" w:val="clear"/>
            <w:vAlign w:val="center"/>
          </w:tcPr>
          <w:p>
            <w:pPr>
              <w:pStyle w:val="TableContents"/>
              <w:bidi w:val="0"/>
              <w:spacing w:before="0" w:after="283"/>
              <w:jc w:val="left"/>
              <w:rPr/>
            </w:pPr>
            <w:r>
              <w:rPr/>
              <w:t> </w:t>
            </w:r>
          </w:p>
        </w:tc>
        <w:tc>
          <w:tcPr>
            <w:tcW w:w="6917" w:type="dxa"/>
            <w:tcBorders/>
            <w:shd w:fill="CCEEFF" w:val="clear"/>
            <w:vAlign w:val="center"/>
          </w:tcPr>
          <w:p>
            <w:pPr>
              <w:pStyle w:val="TableContents"/>
              <w:bidi w:val="0"/>
              <w:spacing w:before="0" w:after="283"/>
              <w:jc w:val="left"/>
              <w:rPr/>
            </w:pPr>
            <w:hyperlink r:id="rId19">
              <w:r>
                <w:rPr>
                  <w:rStyle w:val="InternetLink"/>
                  <w:rFonts w:ascii="Times New Roman;Times;Serif" w:hAnsi="Times New Roman;Times;Serif"/>
                  <w:sz w:val="20"/>
                </w:rPr>
                <w:t>Jasper Therapeutics, Inc. 2022 Amended and Restated Inducement Equity Incentive Plan.</w:t>
              </w:r>
            </w:hyperlink>
          </w:p>
        </w:tc>
        <w:tc>
          <w:tcPr>
            <w:tcW w:w="9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center"/>
              <w:rPr/>
            </w:pPr>
            <w:r>
              <w:rPr/>
              <w:t> </w:t>
            </w:r>
          </w:p>
        </w:tc>
        <w:tc>
          <w:tcPr>
            <w:tcW w:w="7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001-39138</w:t>
            </w:r>
          </w:p>
        </w:tc>
        <w:tc>
          <w:tcPr>
            <w:tcW w:w="90" w:type="dxa"/>
            <w:tcBorders/>
            <w:shd w:fill="CCEEFF" w:val="clear"/>
            <w:vAlign w:val="center"/>
          </w:tcPr>
          <w:p>
            <w:pPr>
              <w:pStyle w:val="TableContents"/>
              <w:bidi w:val="0"/>
              <w:spacing w:before="0" w:after="283"/>
              <w:jc w:val="center"/>
              <w:rPr/>
            </w:pPr>
            <w:r>
              <w:rPr/>
              <w:t> </w:t>
            </w:r>
          </w:p>
        </w:tc>
        <w:tc>
          <w:tcPr>
            <w:tcW w:w="5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6/8/2023</w:t>
            </w:r>
          </w:p>
        </w:tc>
        <w:tc>
          <w:tcPr>
            <w:tcW w:w="90" w:type="dxa"/>
            <w:tcBorders/>
            <w:shd w:fill="CCEEFF" w:val="clear"/>
            <w:vAlign w:val="center"/>
          </w:tcPr>
          <w:p>
            <w:pPr>
              <w:pStyle w:val="TableContents"/>
              <w:bidi w:val="0"/>
              <w:spacing w:before="0" w:after="283"/>
              <w:jc w:val="center"/>
              <w:rPr/>
            </w:pPr>
            <w:r>
              <w:rPr/>
              <w:t> </w:t>
            </w:r>
          </w:p>
        </w:tc>
        <w:tc>
          <w:tcPr>
            <w:tcW w:w="56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r>
      <w:tr>
        <w:trPr/>
        <w:tc>
          <w:tcPr>
            <w:tcW w:w="5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90" w:type="dxa"/>
            <w:tcBorders/>
            <w:vAlign w:val="center"/>
          </w:tcPr>
          <w:p>
            <w:pPr>
              <w:pStyle w:val="TableContents"/>
              <w:bidi w:val="0"/>
              <w:spacing w:before="0" w:after="283"/>
              <w:jc w:val="left"/>
              <w:rPr/>
            </w:pPr>
            <w:r>
              <w:rPr/>
              <w:t> </w:t>
            </w:r>
          </w:p>
        </w:tc>
        <w:tc>
          <w:tcPr>
            <w:tcW w:w="6917" w:type="dxa"/>
            <w:tcBorders/>
            <w:vAlign w:val="center"/>
          </w:tcPr>
          <w:p>
            <w:pPr>
              <w:pStyle w:val="TableContents"/>
              <w:bidi w:val="0"/>
              <w:spacing w:before="0" w:after="283"/>
              <w:jc w:val="left"/>
              <w:rPr/>
            </w:pPr>
            <w:hyperlink r:id="rId20">
              <w:r>
                <w:rPr>
                  <w:rStyle w:val="InternetLink"/>
                  <w:rFonts w:ascii="Times New Roman;Times;Serif" w:hAnsi="Times New Roman;Times;Serif"/>
                  <w:sz w:val="20"/>
                </w:rPr>
                <w:t>Jasper Therapeutics, Inc. 2022 Inducement Equity Incentive Plan Form of Stock Option Agreement and Terms and Conditions of Stock Option Grant.</w:t>
              </w:r>
            </w:hyperlink>
          </w:p>
        </w:tc>
        <w:tc>
          <w:tcPr>
            <w:tcW w:w="9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S-8</w:t>
            </w:r>
          </w:p>
        </w:tc>
        <w:tc>
          <w:tcPr>
            <w:tcW w:w="90" w:type="dxa"/>
            <w:tcBorders/>
            <w:vAlign w:val="center"/>
          </w:tcPr>
          <w:p>
            <w:pPr>
              <w:pStyle w:val="TableContents"/>
              <w:bidi w:val="0"/>
              <w:spacing w:before="0" w:after="283"/>
              <w:jc w:val="center"/>
              <w:rPr/>
            </w:pPr>
            <w:r>
              <w:rPr/>
              <w:t> </w:t>
            </w:r>
          </w:p>
        </w:tc>
        <w:tc>
          <w:tcPr>
            <w:tcW w:w="77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333-263702</w:t>
            </w:r>
          </w:p>
        </w:tc>
        <w:tc>
          <w:tcPr>
            <w:tcW w:w="90" w:type="dxa"/>
            <w:tcBorders/>
            <w:vAlign w:val="center"/>
          </w:tcPr>
          <w:p>
            <w:pPr>
              <w:pStyle w:val="TableContents"/>
              <w:bidi w:val="0"/>
              <w:spacing w:before="0" w:after="283"/>
              <w:jc w:val="center"/>
              <w:rPr/>
            </w:pPr>
            <w:r>
              <w:rPr/>
              <w:t> </w:t>
            </w:r>
          </w:p>
        </w:tc>
        <w:tc>
          <w:tcPr>
            <w:tcW w:w="5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3/18/2022</w:t>
            </w:r>
          </w:p>
        </w:tc>
        <w:tc>
          <w:tcPr>
            <w:tcW w:w="90" w:type="dxa"/>
            <w:tcBorders/>
            <w:vAlign w:val="center"/>
          </w:tcPr>
          <w:p>
            <w:pPr>
              <w:pStyle w:val="TableContents"/>
              <w:bidi w:val="0"/>
              <w:spacing w:before="0" w:after="283"/>
              <w:jc w:val="center"/>
              <w:rPr/>
            </w:pPr>
            <w:r>
              <w:rPr/>
              <w:t> </w:t>
            </w:r>
          </w:p>
        </w:tc>
        <w:tc>
          <w:tcPr>
            <w:tcW w:w="56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10.6</w:t>
            </w:r>
          </w:p>
        </w:tc>
      </w:tr>
      <w:tr>
        <w:trPr/>
        <w:tc>
          <w:tcPr>
            <w:tcW w:w="5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10.10#</w:t>
            </w:r>
          </w:p>
        </w:tc>
        <w:tc>
          <w:tcPr>
            <w:tcW w:w="90" w:type="dxa"/>
            <w:tcBorders/>
            <w:shd w:fill="CCEEFF" w:val="clear"/>
            <w:vAlign w:val="center"/>
          </w:tcPr>
          <w:p>
            <w:pPr>
              <w:pStyle w:val="TableContents"/>
              <w:bidi w:val="0"/>
              <w:spacing w:before="0" w:after="283"/>
              <w:jc w:val="left"/>
              <w:rPr/>
            </w:pPr>
            <w:r>
              <w:rPr/>
              <w:t> </w:t>
            </w:r>
          </w:p>
        </w:tc>
        <w:tc>
          <w:tcPr>
            <w:tcW w:w="6917" w:type="dxa"/>
            <w:tcBorders/>
            <w:shd w:fill="CCEEFF" w:val="clear"/>
            <w:vAlign w:val="center"/>
          </w:tcPr>
          <w:p>
            <w:pPr>
              <w:pStyle w:val="TableContents"/>
              <w:bidi w:val="0"/>
              <w:spacing w:before="0" w:after="283"/>
              <w:jc w:val="left"/>
              <w:rPr/>
            </w:pPr>
            <w:hyperlink r:id="rId21">
              <w:r>
                <w:rPr>
                  <w:rStyle w:val="InternetLink"/>
                  <w:rFonts w:ascii="Times New Roman;Times;Serif" w:hAnsi="Times New Roman;Times;Serif"/>
                  <w:sz w:val="20"/>
                </w:rPr>
                <w:t>Jasper Therapeutics, Inc. 2022 Inducement Equity Incentive Plan Form of Restricted Stock Unit Agreement and Terms and Conditions of Restricted Stock Unit Grant.</w:t>
              </w:r>
            </w:hyperlink>
          </w:p>
        </w:tc>
        <w:tc>
          <w:tcPr>
            <w:tcW w:w="9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S-8</w:t>
            </w:r>
          </w:p>
        </w:tc>
        <w:tc>
          <w:tcPr>
            <w:tcW w:w="90" w:type="dxa"/>
            <w:tcBorders/>
            <w:shd w:fill="CCEEFF" w:val="clear"/>
            <w:vAlign w:val="center"/>
          </w:tcPr>
          <w:p>
            <w:pPr>
              <w:pStyle w:val="TableContents"/>
              <w:bidi w:val="0"/>
              <w:spacing w:before="0" w:after="283"/>
              <w:jc w:val="center"/>
              <w:rPr/>
            </w:pPr>
            <w:r>
              <w:rPr/>
              <w:t> </w:t>
            </w:r>
          </w:p>
        </w:tc>
        <w:tc>
          <w:tcPr>
            <w:tcW w:w="7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333-263702</w:t>
            </w:r>
          </w:p>
        </w:tc>
        <w:tc>
          <w:tcPr>
            <w:tcW w:w="90" w:type="dxa"/>
            <w:tcBorders/>
            <w:shd w:fill="CCEEFF" w:val="clear"/>
            <w:vAlign w:val="center"/>
          </w:tcPr>
          <w:p>
            <w:pPr>
              <w:pStyle w:val="TableContents"/>
              <w:bidi w:val="0"/>
              <w:spacing w:before="0" w:after="283"/>
              <w:jc w:val="center"/>
              <w:rPr/>
            </w:pPr>
            <w:r>
              <w:rPr/>
              <w:t> </w:t>
            </w:r>
          </w:p>
        </w:tc>
        <w:tc>
          <w:tcPr>
            <w:tcW w:w="5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3/18/2022</w:t>
            </w:r>
          </w:p>
        </w:tc>
        <w:tc>
          <w:tcPr>
            <w:tcW w:w="90" w:type="dxa"/>
            <w:tcBorders/>
            <w:shd w:fill="CCEEFF" w:val="clear"/>
            <w:vAlign w:val="center"/>
          </w:tcPr>
          <w:p>
            <w:pPr>
              <w:pStyle w:val="TableContents"/>
              <w:bidi w:val="0"/>
              <w:spacing w:before="0" w:after="283"/>
              <w:jc w:val="center"/>
              <w:rPr/>
            </w:pPr>
            <w:r>
              <w:rPr/>
              <w:t> </w:t>
            </w:r>
          </w:p>
        </w:tc>
        <w:tc>
          <w:tcPr>
            <w:tcW w:w="56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w:t>
            </w:r>
          </w:p>
        </w:tc>
      </w:tr>
      <w:tr>
        <w:trPr/>
        <w:tc>
          <w:tcPr>
            <w:tcW w:w="5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10.11#</w:t>
            </w:r>
          </w:p>
        </w:tc>
        <w:tc>
          <w:tcPr>
            <w:tcW w:w="90" w:type="dxa"/>
            <w:tcBorders/>
            <w:vAlign w:val="center"/>
          </w:tcPr>
          <w:p>
            <w:pPr>
              <w:pStyle w:val="TableContents"/>
              <w:bidi w:val="0"/>
              <w:spacing w:before="0" w:after="283"/>
              <w:jc w:val="left"/>
              <w:rPr/>
            </w:pPr>
            <w:r>
              <w:rPr/>
              <w:t> </w:t>
            </w:r>
          </w:p>
        </w:tc>
        <w:tc>
          <w:tcPr>
            <w:tcW w:w="6917" w:type="dxa"/>
            <w:tcBorders/>
            <w:vAlign w:val="center"/>
          </w:tcPr>
          <w:p>
            <w:pPr>
              <w:pStyle w:val="TableContents"/>
              <w:bidi w:val="0"/>
              <w:spacing w:before="0" w:after="283"/>
              <w:jc w:val="left"/>
              <w:rPr/>
            </w:pPr>
            <w:hyperlink r:id="rId22">
              <w:r>
                <w:rPr>
                  <w:rStyle w:val="InternetLink"/>
                  <w:rFonts w:ascii="Times New Roman;Times;Serif" w:hAnsi="Times New Roman;Times;Serif"/>
                  <w:sz w:val="20"/>
                </w:rPr>
                <w:t>Jasper Therapeutics, Inc. 2019 Equity Incentive Plan.</w:t>
              </w:r>
            </w:hyperlink>
          </w:p>
        </w:tc>
        <w:tc>
          <w:tcPr>
            <w:tcW w:w="9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S-4/A</w:t>
            </w:r>
          </w:p>
        </w:tc>
        <w:tc>
          <w:tcPr>
            <w:tcW w:w="90" w:type="dxa"/>
            <w:tcBorders/>
            <w:vAlign w:val="center"/>
          </w:tcPr>
          <w:p>
            <w:pPr>
              <w:pStyle w:val="TableContents"/>
              <w:bidi w:val="0"/>
              <w:spacing w:before="0" w:after="283"/>
              <w:jc w:val="center"/>
              <w:rPr/>
            </w:pPr>
            <w:r>
              <w:rPr/>
              <w:t> </w:t>
            </w:r>
          </w:p>
        </w:tc>
        <w:tc>
          <w:tcPr>
            <w:tcW w:w="77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333-256875</w:t>
            </w:r>
          </w:p>
        </w:tc>
        <w:tc>
          <w:tcPr>
            <w:tcW w:w="90" w:type="dxa"/>
            <w:tcBorders/>
            <w:vAlign w:val="center"/>
          </w:tcPr>
          <w:p>
            <w:pPr>
              <w:pStyle w:val="TableContents"/>
              <w:bidi w:val="0"/>
              <w:spacing w:before="0" w:after="283"/>
              <w:jc w:val="center"/>
              <w:rPr/>
            </w:pPr>
            <w:r>
              <w:rPr/>
              <w:t> </w:t>
            </w:r>
          </w:p>
        </w:tc>
        <w:tc>
          <w:tcPr>
            <w:tcW w:w="5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7/19/2021</w:t>
            </w:r>
          </w:p>
        </w:tc>
        <w:tc>
          <w:tcPr>
            <w:tcW w:w="90" w:type="dxa"/>
            <w:tcBorders/>
            <w:vAlign w:val="center"/>
          </w:tcPr>
          <w:p>
            <w:pPr>
              <w:pStyle w:val="TableContents"/>
              <w:bidi w:val="0"/>
              <w:spacing w:before="0" w:after="283"/>
              <w:jc w:val="center"/>
              <w:rPr/>
            </w:pPr>
            <w:r>
              <w:rPr/>
              <w:t> </w:t>
            </w:r>
          </w:p>
        </w:tc>
        <w:tc>
          <w:tcPr>
            <w:tcW w:w="56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10.12</w:t>
            </w:r>
          </w:p>
        </w:tc>
      </w:tr>
      <w:tr>
        <w:trPr/>
        <w:tc>
          <w:tcPr>
            <w:tcW w:w="5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10.12#</w:t>
            </w:r>
          </w:p>
        </w:tc>
        <w:tc>
          <w:tcPr>
            <w:tcW w:w="90" w:type="dxa"/>
            <w:tcBorders/>
            <w:shd w:fill="CCEEFF" w:val="clear"/>
            <w:vAlign w:val="center"/>
          </w:tcPr>
          <w:p>
            <w:pPr>
              <w:pStyle w:val="TableContents"/>
              <w:bidi w:val="0"/>
              <w:spacing w:before="0" w:after="283"/>
              <w:jc w:val="left"/>
              <w:rPr/>
            </w:pPr>
            <w:r>
              <w:rPr/>
              <w:t> </w:t>
            </w:r>
          </w:p>
        </w:tc>
        <w:tc>
          <w:tcPr>
            <w:tcW w:w="6917" w:type="dxa"/>
            <w:tcBorders/>
            <w:shd w:fill="CCEEFF" w:val="clear"/>
            <w:vAlign w:val="center"/>
          </w:tcPr>
          <w:p>
            <w:pPr>
              <w:pStyle w:val="TableContents"/>
              <w:bidi w:val="0"/>
              <w:spacing w:before="0" w:after="283"/>
              <w:jc w:val="left"/>
              <w:rPr/>
            </w:pPr>
            <w:hyperlink r:id="rId23">
              <w:r>
                <w:rPr>
                  <w:rStyle w:val="InternetLink"/>
                  <w:rFonts w:ascii="Times New Roman;Times;Serif" w:hAnsi="Times New Roman;Times;Serif"/>
                  <w:sz w:val="20"/>
                </w:rPr>
                <w:t>Amended and Restated Employment Agreement, dated as of June 10, 2024, by and between Jasper Therapeutics, Inc. and Ronald Martell.</w:t>
              </w:r>
            </w:hyperlink>
          </w:p>
        </w:tc>
        <w:tc>
          <w:tcPr>
            <w:tcW w:w="9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center"/>
              <w:rPr/>
            </w:pPr>
            <w:r>
              <w:rPr/>
              <w:t> </w:t>
            </w:r>
          </w:p>
        </w:tc>
        <w:tc>
          <w:tcPr>
            <w:tcW w:w="7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001-39138</w:t>
            </w:r>
          </w:p>
        </w:tc>
        <w:tc>
          <w:tcPr>
            <w:tcW w:w="90" w:type="dxa"/>
            <w:tcBorders/>
            <w:shd w:fill="CCEEFF" w:val="clear"/>
            <w:vAlign w:val="center"/>
          </w:tcPr>
          <w:p>
            <w:pPr>
              <w:pStyle w:val="TableContents"/>
              <w:bidi w:val="0"/>
              <w:spacing w:before="0" w:after="283"/>
              <w:jc w:val="center"/>
              <w:rPr/>
            </w:pPr>
            <w:r>
              <w:rPr/>
              <w:t> </w:t>
            </w:r>
          </w:p>
        </w:tc>
        <w:tc>
          <w:tcPr>
            <w:tcW w:w="5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6/12/2024</w:t>
            </w:r>
          </w:p>
        </w:tc>
        <w:tc>
          <w:tcPr>
            <w:tcW w:w="90" w:type="dxa"/>
            <w:tcBorders/>
            <w:shd w:fill="CCEEFF" w:val="clear"/>
            <w:vAlign w:val="center"/>
          </w:tcPr>
          <w:p>
            <w:pPr>
              <w:pStyle w:val="TableContents"/>
              <w:bidi w:val="0"/>
              <w:spacing w:before="0" w:after="283"/>
              <w:jc w:val="center"/>
              <w:rPr/>
            </w:pPr>
            <w:r>
              <w:rPr/>
              <w:t> </w:t>
            </w:r>
          </w:p>
        </w:tc>
        <w:tc>
          <w:tcPr>
            <w:tcW w:w="56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r>
      <w:tr>
        <w:trPr/>
        <w:tc>
          <w:tcPr>
            <w:tcW w:w="5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10.13#</w:t>
            </w:r>
          </w:p>
        </w:tc>
        <w:tc>
          <w:tcPr>
            <w:tcW w:w="90" w:type="dxa"/>
            <w:tcBorders/>
            <w:vAlign w:val="center"/>
          </w:tcPr>
          <w:p>
            <w:pPr>
              <w:pStyle w:val="TableContents"/>
              <w:bidi w:val="0"/>
              <w:spacing w:before="0" w:after="283"/>
              <w:jc w:val="left"/>
              <w:rPr/>
            </w:pPr>
            <w:r>
              <w:rPr/>
              <w:t> </w:t>
            </w:r>
          </w:p>
        </w:tc>
        <w:tc>
          <w:tcPr>
            <w:tcW w:w="6917" w:type="dxa"/>
            <w:tcBorders/>
            <w:vAlign w:val="center"/>
          </w:tcPr>
          <w:p>
            <w:pPr>
              <w:pStyle w:val="TableContents"/>
              <w:bidi w:val="0"/>
              <w:spacing w:before="0" w:after="283"/>
              <w:jc w:val="left"/>
              <w:rPr/>
            </w:pPr>
            <w:hyperlink r:id="rId24">
              <w:r>
                <w:rPr>
                  <w:rStyle w:val="InternetLink"/>
                  <w:rFonts w:ascii="Times New Roman;Times;Serif" w:hAnsi="Times New Roman;Times;Serif"/>
                  <w:sz w:val="20"/>
                </w:rPr>
                <w:t>Amended and Restated Employment Agreement, dated as of June 10, 2024, by and between Jasper Therapeutics, Inc. and Herb Cross.</w:t>
              </w:r>
            </w:hyperlink>
          </w:p>
        </w:tc>
        <w:tc>
          <w:tcPr>
            <w:tcW w:w="9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center"/>
              <w:rPr/>
            </w:pPr>
            <w:r>
              <w:rPr/>
              <w:t> </w:t>
            </w:r>
          </w:p>
        </w:tc>
        <w:tc>
          <w:tcPr>
            <w:tcW w:w="77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001-39138</w:t>
            </w:r>
          </w:p>
        </w:tc>
        <w:tc>
          <w:tcPr>
            <w:tcW w:w="90" w:type="dxa"/>
            <w:tcBorders/>
            <w:vAlign w:val="center"/>
          </w:tcPr>
          <w:p>
            <w:pPr>
              <w:pStyle w:val="TableContents"/>
              <w:bidi w:val="0"/>
              <w:spacing w:before="0" w:after="283"/>
              <w:jc w:val="center"/>
              <w:rPr/>
            </w:pPr>
            <w:r>
              <w:rPr/>
              <w:t> </w:t>
            </w:r>
          </w:p>
        </w:tc>
        <w:tc>
          <w:tcPr>
            <w:tcW w:w="5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6/12/2024</w:t>
            </w:r>
          </w:p>
        </w:tc>
        <w:tc>
          <w:tcPr>
            <w:tcW w:w="90" w:type="dxa"/>
            <w:tcBorders/>
            <w:vAlign w:val="center"/>
          </w:tcPr>
          <w:p>
            <w:pPr>
              <w:pStyle w:val="TableContents"/>
              <w:bidi w:val="0"/>
              <w:spacing w:before="0" w:after="283"/>
              <w:jc w:val="center"/>
              <w:rPr/>
            </w:pPr>
            <w:r>
              <w:rPr/>
              <w:t> </w:t>
            </w:r>
          </w:p>
        </w:tc>
        <w:tc>
          <w:tcPr>
            <w:tcW w:w="56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r>
      <w:tr>
        <w:trPr/>
        <w:tc>
          <w:tcPr>
            <w:tcW w:w="5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10.14#</w:t>
            </w:r>
          </w:p>
        </w:tc>
        <w:tc>
          <w:tcPr>
            <w:tcW w:w="90" w:type="dxa"/>
            <w:tcBorders/>
            <w:shd w:fill="CCEEFF" w:val="clear"/>
            <w:vAlign w:val="center"/>
          </w:tcPr>
          <w:p>
            <w:pPr>
              <w:pStyle w:val="TableContents"/>
              <w:bidi w:val="0"/>
              <w:spacing w:before="0" w:after="283"/>
              <w:jc w:val="left"/>
              <w:rPr/>
            </w:pPr>
            <w:r>
              <w:rPr/>
              <w:t> </w:t>
            </w:r>
          </w:p>
        </w:tc>
        <w:tc>
          <w:tcPr>
            <w:tcW w:w="6917" w:type="dxa"/>
            <w:tcBorders/>
            <w:shd w:fill="CCEEFF" w:val="clear"/>
            <w:vAlign w:val="center"/>
          </w:tcPr>
          <w:p>
            <w:pPr>
              <w:pStyle w:val="TableContents"/>
              <w:bidi w:val="0"/>
              <w:spacing w:before="0" w:after="283"/>
              <w:jc w:val="left"/>
              <w:rPr/>
            </w:pPr>
            <w:hyperlink r:id="rId25">
              <w:r>
                <w:rPr>
                  <w:rStyle w:val="InternetLink"/>
                  <w:rFonts w:ascii="Times New Roman;Times;Serif" w:hAnsi="Times New Roman;Times;Serif"/>
                  <w:sz w:val="20"/>
                </w:rPr>
                <w:t>Amended and Restated Employment Agreement, dated as of June 10, 2024, by and between Jasper Therapeutics, Inc. and Jeet Mahal.</w:t>
              </w:r>
            </w:hyperlink>
          </w:p>
        </w:tc>
        <w:tc>
          <w:tcPr>
            <w:tcW w:w="9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center"/>
              <w:rPr/>
            </w:pPr>
            <w:r>
              <w:rPr/>
              <w:t> </w:t>
            </w:r>
          </w:p>
        </w:tc>
        <w:tc>
          <w:tcPr>
            <w:tcW w:w="7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001-39138</w:t>
            </w:r>
          </w:p>
        </w:tc>
        <w:tc>
          <w:tcPr>
            <w:tcW w:w="90" w:type="dxa"/>
            <w:tcBorders/>
            <w:shd w:fill="CCEEFF" w:val="clear"/>
            <w:vAlign w:val="center"/>
          </w:tcPr>
          <w:p>
            <w:pPr>
              <w:pStyle w:val="TableContents"/>
              <w:bidi w:val="0"/>
              <w:spacing w:before="0" w:after="283"/>
              <w:jc w:val="center"/>
              <w:rPr/>
            </w:pPr>
            <w:r>
              <w:rPr/>
              <w:t> </w:t>
            </w:r>
          </w:p>
        </w:tc>
        <w:tc>
          <w:tcPr>
            <w:tcW w:w="5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6/12/2024</w:t>
            </w:r>
          </w:p>
        </w:tc>
        <w:tc>
          <w:tcPr>
            <w:tcW w:w="90" w:type="dxa"/>
            <w:tcBorders/>
            <w:shd w:fill="CCEEFF" w:val="clear"/>
            <w:vAlign w:val="center"/>
          </w:tcPr>
          <w:p>
            <w:pPr>
              <w:pStyle w:val="TableContents"/>
              <w:bidi w:val="0"/>
              <w:spacing w:before="0" w:after="283"/>
              <w:jc w:val="center"/>
              <w:rPr/>
            </w:pPr>
            <w:r>
              <w:rPr/>
              <w:t> </w:t>
            </w:r>
          </w:p>
        </w:tc>
        <w:tc>
          <w:tcPr>
            <w:tcW w:w="56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w:t>
            </w:r>
          </w:p>
        </w:tc>
      </w:tr>
      <w:tr>
        <w:trPr/>
        <w:tc>
          <w:tcPr>
            <w:tcW w:w="5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10.15#</w:t>
            </w:r>
          </w:p>
        </w:tc>
        <w:tc>
          <w:tcPr>
            <w:tcW w:w="90" w:type="dxa"/>
            <w:tcBorders/>
            <w:vAlign w:val="center"/>
          </w:tcPr>
          <w:p>
            <w:pPr>
              <w:pStyle w:val="TableContents"/>
              <w:bidi w:val="0"/>
              <w:spacing w:before="0" w:after="283"/>
              <w:jc w:val="left"/>
              <w:rPr/>
            </w:pPr>
            <w:r>
              <w:rPr/>
              <w:t> </w:t>
            </w:r>
          </w:p>
        </w:tc>
        <w:tc>
          <w:tcPr>
            <w:tcW w:w="6917" w:type="dxa"/>
            <w:tcBorders/>
            <w:vAlign w:val="center"/>
          </w:tcPr>
          <w:p>
            <w:pPr>
              <w:pStyle w:val="TableContents"/>
              <w:bidi w:val="0"/>
              <w:spacing w:before="0" w:after="283"/>
              <w:jc w:val="left"/>
              <w:rPr/>
            </w:pPr>
            <w:hyperlink r:id="rId26">
              <w:r>
                <w:rPr>
                  <w:rStyle w:val="InternetLink"/>
                  <w:rFonts w:ascii="Times New Roman;Times;Serif" w:hAnsi="Times New Roman;Times;Serif"/>
                  <w:sz w:val="20"/>
                </w:rPr>
                <w:t>Consulting Agreement, dated December 16, 2019, by and between Jasper Therapeutics, Inc. and Judith Shizuru, M.D., Ph.D.</w:t>
              </w:r>
            </w:hyperlink>
          </w:p>
        </w:tc>
        <w:tc>
          <w:tcPr>
            <w:tcW w:w="9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S-4/A</w:t>
            </w:r>
          </w:p>
        </w:tc>
        <w:tc>
          <w:tcPr>
            <w:tcW w:w="9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333-256875</w:t>
            </w:r>
          </w:p>
        </w:tc>
        <w:tc>
          <w:tcPr>
            <w:tcW w:w="9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8/9/2021</w:t>
            </w:r>
          </w:p>
        </w:tc>
        <w:tc>
          <w:tcPr>
            <w:tcW w:w="9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10.29</w:t>
            </w:r>
          </w:p>
        </w:tc>
      </w:tr>
      <w:tr>
        <w:trPr/>
        <w:tc>
          <w:tcPr>
            <w:tcW w:w="5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10.16#</w:t>
            </w:r>
          </w:p>
        </w:tc>
        <w:tc>
          <w:tcPr>
            <w:tcW w:w="90" w:type="dxa"/>
            <w:tcBorders/>
            <w:shd w:fill="CCEEFF" w:val="clear"/>
            <w:vAlign w:val="center"/>
          </w:tcPr>
          <w:p>
            <w:pPr>
              <w:pStyle w:val="TableContents"/>
              <w:bidi w:val="0"/>
              <w:spacing w:before="0" w:after="283"/>
              <w:jc w:val="left"/>
              <w:rPr/>
            </w:pPr>
            <w:r>
              <w:rPr/>
              <w:t> </w:t>
            </w:r>
          </w:p>
        </w:tc>
        <w:tc>
          <w:tcPr>
            <w:tcW w:w="6917" w:type="dxa"/>
            <w:tcBorders/>
            <w:shd w:fill="CCEEFF" w:val="clear"/>
            <w:vAlign w:val="center"/>
          </w:tcPr>
          <w:p>
            <w:pPr>
              <w:pStyle w:val="TableContents"/>
              <w:bidi w:val="0"/>
              <w:spacing w:before="0" w:after="283"/>
              <w:jc w:val="left"/>
              <w:rPr/>
            </w:pPr>
            <w:hyperlink r:id="rId27">
              <w:r>
                <w:rPr>
                  <w:rStyle w:val="InternetLink"/>
                  <w:rFonts w:ascii="Times New Roman;Times;Serif" w:hAnsi="Times New Roman;Times;Serif"/>
                  <w:sz w:val="20"/>
                </w:rPr>
                <w:t>Jasper Therapeutics, Inc. Non-Employee Director Compensation Policy.</w:t>
              </w:r>
            </w:hyperlink>
          </w:p>
        </w:tc>
        <w:tc>
          <w:tcPr>
            <w:tcW w:w="9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90"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001-39138 </w:t>
            </w:r>
          </w:p>
        </w:tc>
        <w:tc>
          <w:tcPr>
            <w:tcW w:w="90"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2/28/2025</w:t>
            </w:r>
          </w:p>
        </w:tc>
        <w:tc>
          <w:tcPr>
            <w:tcW w:w="9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10.17</w:t>
            </w:r>
          </w:p>
        </w:tc>
      </w:tr>
      <w:tr>
        <w:trPr/>
        <w:tc>
          <w:tcPr>
            <w:tcW w:w="5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10.17#</w:t>
            </w:r>
          </w:p>
        </w:tc>
        <w:tc>
          <w:tcPr>
            <w:tcW w:w="90" w:type="dxa"/>
            <w:tcBorders/>
            <w:vAlign w:val="center"/>
          </w:tcPr>
          <w:p>
            <w:pPr>
              <w:pStyle w:val="TableContents"/>
              <w:bidi w:val="0"/>
              <w:spacing w:before="0" w:after="283"/>
              <w:jc w:val="left"/>
              <w:rPr/>
            </w:pPr>
            <w:r>
              <w:rPr/>
              <w:t> </w:t>
            </w:r>
          </w:p>
        </w:tc>
        <w:tc>
          <w:tcPr>
            <w:tcW w:w="6917" w:type="dxa"/>
            <w:tcBorders/>
            <w:vAlign w:val="center"/>
          </w:tcPr>
          <w:p>
            <w:pPr>
              <w:pStyle w:val="TableContents"/>
              <w:bidi w:val="0"/>
              <w:spacing w:before="0" w:after="283"/>
              <w:jc w:val="left"/>
              <w:rPr/>
            </w:pPr>
            <w:hyperlink r:id="rId28">
              <w:r>
                <w:rPr>
                  <w:rStyle w:val="InternetLink"/>
                  <w:rFonts w:ascii="Times New Roman;Times;Serif" w:hAnsi="Times New Roman;Times;Serif"/>
                  <w:sz w:val="20"/>
                </w:rPr>
                <w:t>Form of Indemnification Agreement by and between Jasper Therapeutics, Inc. and each of its directors and executive officers.</w:t>
              </w:r>
            </w:hyperlink>
          </w:p>
        </w:tc>
        <w:tc>
          <w:tcPr>
            <w:tcW w:w="9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S-4/A</w:t>
            </w:r>
          </w:p>
        </w:tc>
        <w:tc>
          <w:tcPr>
            <w:tcW w:w="9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333-256875</w:t>
            </w:r>
          </w:p>
        </w:tc>
        <w:tc>
          <w:tcPr>
            <w:tcW w:w="9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7/19/2021</w:t>
            </w:r>
          </w:p>
        </w:tc>
        <w:tc>
          <w:tcPr>
            <w:tcW w:w="9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10.28</w:t>
            </w:r>
          </w:p>
        </w:tc>
      </w:tr>
      <w:tr>
        <w:trPr/>
        <w:tc>
          <w:tcPr>
            <w:tcW w:w="5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10.18^</w:t>
            </w:r>
          </w:p>
        </w:tc>
        <w:tc>
          <w:tcPr>
            <w:tcW w:w="90" w:type="dxa"/>
            <w:tcBorders/>
            <w:shd w:fill="CCEEFF" w:val="clear"/>
            <w:vAlign w:val="center"/>
          </w:tcPr>
          <w:p>
            <w:pPr>
              <w:pStyle w:val="TableContents"/>
              <w:bidi w:val="0"/>
              <w:spacing w:before="0" w:after="283"/>
              <w:jc w:val="left"/>
              <w:rPr/>
            </w:pPr>
            <w:r>
              <w:rPr/>
              <w:t> </w:t>
            </w:r>
          </w:p>
        </w:tc>
        <w:tc>
          <w:tcPr>
            <w:tcW w:w="6917" w:type="dxa"/>
            <w:tcBorders/>
            <w:shd w:fill="CCEEFF" w:val="clear"/>
            <w:vAlign w:val="center"/>
          </w:tcPr>
          <w:p>
            <w:pPr>
              <w:pStyle w:val="TableContents"/>
              <w:bidi w:val="0"/>
              <w:spacing w:before="0" w:after="283"/>
              <w:jc w:val="left"/>
              <w:rPr/>
            </w:pPr>
            <w:hyperlink r:id="rId29">
              <w:r>
                <w:rPr>
                  <w:rStyle w:val="InternetLink"/>
                  <w:rFonts w:ascii="Times New Roman;Times;Serif" w:hAnsi="Times New Roman;Times;Serif"/>
                  <w:sz w:val="20"/>
                </w:rPr>
                <w:t>Exclusive License Agreement, dated November 21, 2019, by and between Jasper Therapeutics, Inc. and Amgen Inc.</w:t>
              </w:r>
            </w:hyperlink>
          </w:p>
        </w:tc>
        <w:tc>
          <w:tcPr>
            <w:tcW w:w="9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S-4/A</w:t>
            </w:r>
          </w:p>
        </w:tc>
        <w:tc>
          <w:tcPr>
            <w:tcW w:w="90"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333-256875</w:t>
            </w:r>
          </w:p>
        </w:tc>
        <w:tc>
          <w:tcPr>
            <w:tcW w:w="90"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8/9/2021</w:t>
            </w:r>
          </w:p>
        </w:tc>
        <w:tc>
          <w:tcPr>
            <w:tcW w:w="9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10.13</w:t>
            </w:r>
          </w:p>
        </w:tc>
      </w:tr>
      <w:tr>
        <w:trPr/>
        <w:tc>
          <w:tcPr>
            <w:tcW w:w="5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10.19</w:t>
            </w:r>
          </w:p>
        </w:tc>
        <w:tc>
          <w:tcPr>
            <w:tcW w:w="90" w:type="dxa"/>
            <w:tcBorders/>
            <w:vAlign w:val="center"/>
          </w:tcPr>
          <w:p>
            <w:pPr>
              <w:pStyle w:val="TableContents"/>
              <w:bidi w:val="0"/>
              <w:spacing w:before="0" w:after="283"/>
              <w:jc w:val="left"/>
              <w:rPr/>
            </w:pPr>
            <w:r>
              <w:rPr/>
              <w:t> </w:t>
            </w:r>
          </w:p>
        </w:tc>
        <w:tc>
          <w:tcPr>
            <w:tcW w:w="6917" w:type="dxa"/>
            <w:tcBorders/>
            <w:vAlign w:val="center"/>
          </w:tcPr>
          <w:p>
            <w:pPr>
              <w:pStyle w:val="TableContents"/>
              <w:bidi w:val="0"/>
              <w:spacing w:before="0" w:after="283"/>
              <w:jc w:val="left"/>
              <w:rPr/>
            </w:pPr>
            <w:hyperlink r:id="rId30">
              <w:r>
                <w:rPr>
                  <w:rStyle w:val="InternetLink"/>
                  <w:rFonts w:ascii="Times New Roman;Times;Serif" w:hAnsi="Times New Roman;Times;Serif"/>
                  <w:sz w:val="20"/>
                </w:rPr>
                <w:t>Assignment Agreement, dated as of November 21, 2019, by and between Jasper Therapeutics, Inc. and Amgen Inc.</w:t>
              </w:r>
            </w:hyperlink>
          </w:p>
        </w:tc>
        <w:tc>
          <w:tcPr>
            <w:tcW w:w="9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S-4/A</w:t>
            </w:r>
          </w:p>
        </w:tc>
        <w:tc>
          <w:tcPr>
            <w:tcW w:w="9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333-256875</w:t>
            </w:r>
          </w:p>
        </w:tc>
        <w:tc>
          <w:tcPr>
            <w:tcW w:w="9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8/9/2021</w:t>
            </w:r>
          </w:p>
        </w:tc>
        <w:tc>
          <w:tcPr>
            <w:tcW w:w="9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10.14</w:t>
            </w:r>
          </w:p>
        </w:tc>
      </w:tr>
      <w:tr>
        <w:trPr/>
        <w:tc>
          <w:tcPr>
            <w:tcW w:w="5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10.20^</w:t>
            </w:r>
          </w:p>
        </w:tc>
        <w:tc>
          <w:tcPr>
            <w:tcW w:w="90" w:type="dxa"/>
            <w:tcBorders/>
            <w:shd w:fill="CCEEFF" w:val="clear"/>
            <w:vAlign w:val="center"/>
          </w:tcPr>
          <w:p>
            <w:pPr>
              <w:pStyle w:val="TableContents"/>
              <w:bidi w:val="0"/>
              <w:spacing w:before="0" w:after="283"/>
              <w:jc w:val="left"/>
              <w:rPr/>
            </w:pPr>
            <w:r>
              <w:rPr/>
              <w:t> </w:t>
            </w:r>
          </w:p>
        </w:tc>
        <w:tc>
          <w:tcPr>
            <w:tcW w:w="6917" w:type="dxa"/>
            <w:tcBorders/>
            <w:shd w:fill="CCEEFF" w:val="clear"/>
            <w:vAlign w:val="center"/>
          </w:tcPr>
          <w:p>
            <w:pPr>
              <w:pStyle w:val="TableContents"/>
              <w:bidi w:val="0"/>
              <w:spacing w:before="0" w:after="283"/>
              <w:jc w:val="left"/>
              <w:rPr/>
            </w:pPr>
            <w:hyperlink r:id="rId31">
              <w:r>
                <w:rPr>
                  <w:rStyle w:val="InternetLink"/>
                  <w:rFonts w:ascii="Times New Roman;Times;Serif" w:hAnsi="Times New Roman;Times;Serif"/>
                  <w:sz w:val="20"/>
                </w:rPr>
                <w:t>Investigator Sponsored Research Agreement, Amgen Protocol No. 20119244, effective as of June 18, 2013, between Jasper Therapeutics, Inc., as successor in interest to Amgen Inc., and The Board of Trustees of the Leland Stanford Junior University for Stanford University.</w:t>
              </w:r>
            </w:hyperlink>
          </w:p>
        </w:tc>
        <w:tc>
          <w:tcPr>
            <w:tcW w:w="9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S-4/A</w:t>
            </w:r>
          </w:p>
        </w:tc>
        <w:tc>
          <w:tcPr>
            <w:tcW w:w="90"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333-256875</w:t>
            </w:r>
          </w:p>
        </w:tc>
        <w:tc>
          <w:tcPr>
            <w:tcW w:w="90"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8/9/2021</w:t>
            </w:r>
          </w:p>
        </w:tc>
        <w:tc>
          <w:tcPr>
            <w:tcW w:w="9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10.15</w:t>
            </w:r>
          </w:p>
        </w:tc>
      </w:tr>
      <w:tr>
        <w:trPr/>
        <w:tc>
          <w:tcPr>
            <w:tcW w:w="5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10.21^</w:t>
            </w:r>
          </w:p>
        </w:tc>
        <w:tc>
          <w:tcPr>
            <w:tcW w:w="90" w:type="dxa"/>
            <w:tcBorders/>
            <w:vAlign w:val="center"/>
          </w:tcPr>
          <w:p>
            <w:pPr>
              <w:pStyle w:val="TableContents"/>
              <w:bidi w:val="0"/>
              <w:spacing w:before="0" w:after="283"/>
              <w:jc w:val="left"/>
              <w:rPr/>
            </w:pPr>
            <w:r>
              <w:rPr/>
              <w:t> </w:t>
            </w:r>
          </w:p>
        </w:tc>
        <w:tc>
          <w:tcPr>
            <w:tcW w:w="6917" w:type="dxa"/>
            <w:tcBorders/>
            <w:vAlign w:val="center"/>
          </w:tcPr>
          <w:p>
            <w:pPr>
              <w:pStyle w:val="TableContents"/>
              <w:bidi w:val="0"/>
              <w:spacing w:before="0" w:after="283"/>
              <w:jc w:val="left"/>
              <w:rPr/>
            </w:pPr>
            <w:hyperlink r:id="rId32">
              <w:r>
                <w:rPr>
                  <w:rStyle w:val="InternetLink"/>
                  <w:rFonts w:ascii="Times New Roman;Times;Serif" w:hAnsi="Times New Roman;Times;Serif"/>
                  <w:sz w:val="20"/>
                </w:rPr>
                <w:t>Amendment #1 to the Investigator Sponsored Research Agreement, Amgen Protocol No. 20119244, dated February 27, 2017, between Jasper Therapeutics, Inc., as successor in interest to Amgen Inc., and The Board of Trustees of the Leland Stanford Junior University for Stanford University.</w:t>
              </w:r>
            </w:hyperlink>
          </w:p>
        </w:tc>
        <w:tc>
          <w:tcPr>
            <w:tcW w:w="9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S-4/A</w:t>
            </w:r>
          </w:p>
        </w:tc>
        <w:tc>
          <w:tcPr>
            <w:tcW w:w="9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333-256875</w:t>
            </w:r>
          </w:p>
        </w:tc>
        <w:tc>
          <w:tcPr>
            <w:tcW w:w="9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8/9/2021</w:t>
            </w:r>
          </w:p>
        </w:tc>
        <w:tc>
          <w:tcPr>
            <w:tcW w:w="9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10.16</w:t>
            </w:r>
          </w:p>
        </w:tc>
      </w:tr>
      <w:tr>
        <w:trPr/>
        <w:tc>
          <w:tcPr>
            <w:tcW w:w="5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10.22^</w:t>
            </w:r>
          </w:p>
        </w:tc>
        <w:tc>
          <w:tcPr>
            <w:tcW w:w="90" w:type="dxa"/>
            <w:tcBorders/>
            <w:shd w:fill="CCEEFF" w:val="clear"/>
            <w:vAlign w:val="center"/>
          </w:tcPr>
          <w:p>
            <w:pPr>
              <w:pStyle w:val="TableContents"/>
              <w:bidi w:val="0"/>
              <w:spacing w:before="0" w:after="283"/>
              <w:jc w:val="left"/>
              <w:rPr/>
            </w:pPr>
            <w:r>
              <w:rPr/>
              <w:t> </w:t>
            </w:r>
          </w:p>
        </w:tc>
        <w:tc>
          <w:tcPr>
            <w:tcW w:w="6917" w:type="dxa"/>
            <w:tcBorders/>
            <w:shd w:fill="CCEEFF" w:val="clear"/>
            <w:vAlign w:val="center"/>
          </w:tcPr>
          <w:p>
            <w:pPr>
              <w:pStyle w:val="TableContents"/>
              <w:bidi w:val="0"/>
              <w:spacing w:before="0" w:after="283"/>
              <w:jc w:val="left"/>
              <w:rPr/>
            </w:pPr>
            <w:hyperlink r:id="rId33">
              <w:r>
                <w:rPr>
                  <w:rStyle w:val="InternetLink"/>
                  <w:rFonts w:ascii="Times New Roman;Times;Serif" w:hAnsi="Times New Roman;Times;Serif"/>
                  <w:sz w:val="20"/>
                </w:rPr>
                <w:t>Amendment #2 to the Investigator Sponsored Research Agreement, Amgen Protocol No. 20119244, dated November 15, 2017, between Jasper Therapeutics, Inc., as successor in interest to Amgen Inc., and The Board of Trustees of the Leland Stanford Junior University for Stanford University.</w:t>
              </w:r>
            </w:hyperlink>
          </w:p>
        </w:tc>
        <w:tc>
          <w:tcPr>
            <w:tcW w:w="9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S-4/A</w:t>
            </w:r>
          </w:p>
        </w:tc>
        <w:tc>
          <w:tcPr>
            <w:tcW w:w="90"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333-256875</w:t>
            </w:r>
          </w:p>
        </w:tc>
        <w:tc>
          <w:tcPr>
            <w:tcW w:w="90"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8/9/2021</w:t>
            </w:r>
          </w:p>
        </w:tc>
        <w:tc>
          <w:tcPr>
            <w:tcW w:w="9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10.17</w:t>
            </w:r>
          </w:p>
        </w:tc>
      </w:tr>
      <w:tr>
        <w:trPr/>
        <w:tc>
          <w:tcPr>
            <w:tcW w:w="5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10.23^</w:t>
            </w:r>
          </w:p>
        </w:tc>
        <w:tc>
          <w:tcPr>
            <w:tcW w:w="90" w:type="dxa"/>
            <w:tcBorders/>
            <w:vAlign w:val="center"/>
          </w:tcPr>
          <w:p>
            <w:pPr>
              <w:pStyle w:val="TableContents"/>
              <w:bidi w:val="0"/>
              <w:spacing w:before="0" w:after="283"/>
              <w:jc w:val="left"/>
              <w:rPr/>
            </w:pPr>
            <w:r>
              <w:rPr/>
              <w:t> </w:t>
            </w:r>
          </w:p>
        </w:tc>
        <w:tc>
          <w:tcPr>
            <w:tcW w:w="6917" w:type="dxa"/>
            <w:tcBorders/>
            <w:vAlign w:val="center"/>
          </w:tcPr>
          <w:p>
            <w:pPr>
              <w:pStyle w:val="TableContents"/>
              <w:bidi w:val="0"/>
              <w:spacing w:before="0" w:after="283"/>
              <w:jc w:val="left"/>
              <w:rPr/>
            </w:pPr>
            <w:hyperlink r:id="rId34">
              <w:r>
                <w:rPr>
                  <w:rStyle w:val="InternetLink"/>
                  <w:rFonts w:ascii="Times New Roman;Times;Serif" w:hAnsi="Times New Roman;Times;Serif"/>
                  <w:sz w:val="20"/>
                </w:rPr>
                <w:t>Quality Agreement, dated October 7, 2015, by and between Jasper Therapeutics, Inc., as successor in interest to Amgen Inc., and The Board of Trustees of the Leland Stanford Junior University for Stanford University.</w:t>
              </w:r>
            </w:hyperlink>
          </w:p>
        </w:tc>
        <w:tc>
          <w:tcPr>
            <w:tcW w:w="9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S-4/A</w:t>
            </w:r>
          </w:p>
        </w:tc>
        <w:tc>
          <w:tcPr>
            <w:tcW w:w="9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333-256875</w:t>
            </w:r>
          </w:p>
        </w:tc>
        <w:tc>
          <w:tcPr>
            <w:tcW w:w="9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8/9/2021</w:t>
            </w:r>
          </w:p>
        </w:tc>
        <w:tc>
          <w:tcPr>
            <w:tcW w:w="9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10.18</w:t>
            </w:r>
          </w:p>
        </w:tc>
      </w:tr>
      <w:tr>
        <w:trPr/>
        <w:tc>
          <w:tcPr>
            <w:tcW w:w="5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10.24^</w:t>
            </w:r>
          </w:p>
        </w:tc>
        <w:tc>
          <w:tcPr>
            <w:tcW w:w="90" w:type="dxa"/>
            <w:tcBorders/>
            <w:shd w:fill="CCEEFF" w:val="clear"/>
            <w:vAlign w:val="center"/>
          </w:tcPr>
          <w:p>
            <w:pPr>
              <w:pStyle w:val="TableContents"/>
              <w:bidi w:val="0"/>
              <w:spacing w:before="0" w:after="283"/>
              <w:jc w:val="left"/>
              <w:rPr/>
            </w:pPr>
            <w:r>
              <w:rPr/>
              <w:t> </w:t>
            </w:r>
          </w:p>
        </w:tc>
        <w:tc>
          <w:tcPr>
            <w:tcW w:w="6917" w:type="dxa"/>
            <w:tcBorders/>
            <w:shd w:fill="CCEEFF" w:val="clear"/>
            <w:vAlign w:val="center"/>
          </w:tcPr>
          <w:p>
            <w:pPr>
              <w:pStyle w:val="TableContents"/>
              <w:bidi w:val="0"/>
              <w:spacing w:before="0" w:after="283"/>
              <w:jc w:val="left"/>
              <w:rPr/>
            </w:pPr>
            <w:hyperlink r:id="rId35">
              <w:r>
                <w:rPr>
                  <w:rStyle w:val="InternetLink"/>
                  <w:rFonts w:ascii="Times New Roman;Times;Serif" w:hAnsi="Times New Roman;Times;Serif"/>
                  <w:sz w:val="20"/>
                </w:rPr>
                <w:t>Exclusive License Agreement, effective as of March 25, 2021, by and between Jasper Therapeutics, Inc. and The Board of Trustees of the Leland Stanford Junior University.</w:t>
              </w:r>
            </w:hyperlink>
          </w:p>
        </w:tc>
        <w:tc>
          <w:tcPr>
            <w:tcW w:w="9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S-4/A</w:t>
            </w:r>
          </w:p>
        </w:tc>
        <w:tc>
          <w:tcPr>
            <w:tcW w:w="90"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333-256875</w:t>
            </w:r>
          </w:p>
        </w:tc>
        <w:tc>
          <w:tcPr>
            <w:tcW w:w="90"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8/9/2021</w:t>
            </w:r>
          </w:p>
        </w:tc>
        <w:tc>
          <w:tcPr>
            <w:tcW w:w="9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10.19</w:t>
            </w:r>
          </w:p>
        </w:tc>
      </w:tr>
      <w:tr>
        <w:trPr/>
        <w:tc>
          <w:tcPr>
            <w:tcW w:w="5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10.25^</w:t>
            </w:r>
          </w:p>
        </w:tc>
        <w:tc>
          <w:tcPr>
            <w:tcW w:w="90" w:type="dxa"/>
            <w:tcBorders/>
            <w:vAlign w:val="center"/>
          </w:tcPr>
          <w:p>
            <w:pPr>
              <w:pStyle w:val="TableContents"/>
              <w:bidi w:val="0"/>
              <w:spacing w:before="0" w:after="283"/>
              <w:jc w:val="left"/>
              <w:rPr/>
            </w:pPr>
            <w:r>
              <w:rPr/>
              <w:t> </w:t>
            </w:r>
          </w:p>
        </w:tc>
        <w:tc>
          <w:tcPr>
            <w:tcW w:w="6917" w:type="dxa"/>
            <w:tcBorders/>
            <w:vAlign w:val="center"/>
          </w:tcPr>
          <w:p>
            <w:pPr>
              <w:pStyle w:val="TableContents"/>
              <w:bidi w:val="0"/>
              <w:spacing w:before="0" w:after="283"/>
              <w:jc w:val="left"/>
              <w:rPr/>
            </w:pPr>
            <w:hyperlink r:id="rId36">
              <w:r>
                <w:rPr>
                  <w:rStyle w:val="InternetLink"/>
                  <w:rFonts w:ascii="Times New Roman;Times;Serif" w:hAnsi="Times New Roman;Times;Serif"/>
                  <w:sz w:val="20"/>
                </w:rPr>
                <w:t>Amendment No. 1 to the Exclusive License Agreement, dated July 27, 2023, between Stanford University and Jasper Therapeutics, Inc.</w:t>
              </w:r>
            </w:hyperlink>
          </w:p>
        </w:tc>
        <w:tc>
          <w:tcPr>
            <w:tcW w:w="9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9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001-39138</w:t>
            </w:r>
          </w:p>
        </w:tc>
        <w:tc>
          <w:tcPr>
            <w:tcW w:w="9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8/11/2023</w:t>
            </w:r>
          </w:p>
        </w:tc>
        <w:tc>
          <w:tcPr>
            <w:tcW w:w="9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r>
      <w:tr>
        <w:trPr/>
        <w:tc>
          <w:tcPr>
            <w:tcW w:w="5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10.26^</w:t>
            </w:r>
          </w:p>
        </w:tc>
        <w:tc>
          <w:tcPr>
            <w:tcW w:w="90" w:type="dxa"/>
            <w:tcBorders/>
            <w:shd w:fill="CCEEFF" w:val="clear"/>
            <w:vAlign w:val="center"/>
          </w:tcPr>
          <w:p>
            <w:pPr>
              <w:pStyle w:val="TableContents"/>
              <w:bidi w:val="0"/>
              <w:spacing w:before="0" w:after="283"/>
              <w:jc w:val="left"/>
              <w:rPr/>
            </w:pPr>
            <w:r>
              <w:rPr/>
              <w:t> </w:t>
            </w:r>
          </w:p>
        </w:tc>
        <w:tc>
          <w:tcPr>
            <w:tcW w:w="6917" w:type="dxa"/>
            <w:tcBorders/>
            <w:shd w:fill="CCEEFF" w:val="clear"/>
            <w:vAlign w:val="center"/>
          </w:tcPr>
          <w:p>
            <w:pPr>
              <w:pStyle w:val="TableContents"/>
              <w:bidi w:val="0"/>
              <w:spacing w:before="0" w:after="283"/>
              <w:jc w:val="left"/>
              <w:rPr/>
            </w:pPr>
            <w:hyperlink r:id="rId37">
              <w:r>
                <w:rPr>
                  <w:rStyle w:val="InternetLink"/>
                  <w:rFonts w:ascii="Times New Roman;Times;Serif" w:hAnsi="Times New Roman;Times;Serif"/>
                  <w:sz w:val="20"/>
                </w:rPr>
                <w:t>Sponsored Research Agreement, effective September 1, 2020, by and between Jasper Therapeutics, Inc. and The Board of Trustees of the Leland Stanford Junior University.</w:t>
              </w:r>
            </w:hyperlink>
          </w:p>
        </w:tc>
        <w:tc>
          <w:tcPr>
            <w:tcW w:w="9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S-4/A</w:t>
            </w:r>
          </w:p>
        </w:tc>
        <w:tc>
          <w:tcPr>
            <w:tcW w:w="90"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333-256875</w:t>
            </w:r>
          </w:p>
        </w:tc>
        <w:tc>
          <w:tcPr>
            <w:tcW w:w="90"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8/9/2021</w:t>
            </w:r>
          </w:p>
        </w:tc>
        <w:tc>
          <w:tcPr>
            <w:tcW w:w="9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0"/>
        <w:gridCol w:w="90"/>
        <w:gridCol w:w="6655"/>
        <w:gridCol w:w="90"/>
        <w:gridCol w:w="395"/>
        <w:gridCol w:w="90"/>
        <w:gridCol w:w="825"/>
        <w:gridCol w:w="90"/>
        <w:gridCol w:w="638"/>
        <w:gridCol w:w="90"/>
        <w:gridCol w:w="562"/>
      </w:tblGrid>
      <w:tr>
        <w:trPr/>
        <w:tc>
          <w:tcPr>
            <w:tcW w:w="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10.27^</w:t>
            </w:r>
          </w:p>
        </w:tc>
        <w:tc>
          <w:tcPr>
            <w:tcW w:w="90" w:type="dxa"/>
            <w:tcBorders/>
            <w:shd w:fill="CCEEFF" w:val="clear"/>
            <w:vAlign w:val="center"/>
          </w:tcPr>
          <w:p>
            <w:pPr>
              <w:pStyle w:val="TableContents"/>
              <w:bidi w:val="0"/>
              <w:spacing w:before="0" w:after="283"/>
              <w:jc w:val="left"/>
              <w:rPr/>
            </w:pPr>
            <w:r>
              <w:rPr/>
              <w:t> </w:t>
            </w:r>
          </w:p>
        </w:tc>
        <w:tc>
          <w:tcPr>
            <w:tcW w:w="6655" w:type="dxa"/>
            <w:tcBorders/>
            <w:shd w:fill="CCEEFF" w:val="clear"/>
            <w:vAlign w:val="center"/>
          </w:tcPr>
          <w:p>
            <w:pPr>
              <w:pStyle w:val="TableContents"/>
              <w:bidi w:val="0"/>
              <w:spacing w:before="0" w:after="283"/>
              <w:jc w:val="left"/>
              <w:rPr/>
            </w:pPr>
            <w:hyperlink r:id="rId38">
              <w:r>
                <w:rPr>
                  <w:rStyle w:val="InternetLink"/>
                  <w:rFonts w:ascii="Times New Roman;Times;Serif" w:hAnsi="Times New Roman;Times;Serif"/>
                  <w:sz w:val="20"/>
                </w:rPr>
                <w:t>Development and Manufacturing Services Agreement, dated November 29, 2019, by and between Jasper Therapeutics, Inc. and Lonza Sales AG.</w:t>
              </w:r>
            </w:hyperlink>
          </w:p>
        </w:tc>
        <w:tc>
          <w:tcPr>
            <w:tcW w:w="9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S-4/A</w:t>
            </w:r>
          </w:p>
        </w:tc>
        <w:tc>
          <w:tcPr>
            <w:tcW w:w="9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333-256875</w:t>
            </w:r>
          </w:p>
        </w:tc>
        <w:tc>
          <w:tcPr>
            <w:tcW w:w="90"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8/20/2021</w:t>
            </w:r>
          </w:p>
        </w:tc>
        <w:tc>
          <w:tcPr>
            <w:tcW w:w="9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10.25</w:t>
            </w:r>
          </w:p>
        </w:tc>
      </w:tr>
      <w:tr>
        <w:trPr/>
        <w:tc>
          <w:tcPr>
            <w:tcW w:w="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10.28^</w:t>
            </w:r>
          </w:p>
        </w:tc>
        <w:tc>
          <w:tcPr>
            <w:tcW w:w="90" w:type="dxa"/>
            <w:tcBorders/>
            <w:vAlign w:val="center"/>
          </w:tcPr>
          <w:p>
            <w:pPr>
              <w:pStyle w:val="TableContents"/>
              <w:bidi w:val="0"/>
              <w:spacing w:before="0" w:after="283"/>
              <w:jc w:val="left"/>
              <w:rPr/>
            </w:pPr>
            <w:r>
              <w:rPr/>
              <w:t> </w:t>
            </w:r>
          </w:p>
        </w:tc>
        <w:tc>
          <w:tcPr>
            <w:tcW w:w="6655" w:type="dxa"/>
            <w:tcBorders/>
            <w:vAlign w:val="center"/>
          </w:tcPr>
          <w:p>
            <w:pPr>
              <w:pStyle w:val="TableContents"/>
              <w:bidi w:val="0"/>
              <w:spacing w:before="0" w:after="283"/>
              <w:jc w:val="left"/>
              <w:rPr/>
            </w:pPr>
            <w:hyperlink r:id="rId39">
              <w:r>
                <w:rPr>
                  <w:rStyle w:val="InternetLink"/>
                  <w:rFonts w:ascii="Times New Roman;Times;Serif" w:hAnsi="Times New Roman;Times;Serif"/>
                  <w:sz w:val="20"/>
                </w:rPr>
                <w:t>Amendment No. 1 to Development and Manufacturing Services Agreement, executed April 24, 2020 by and between Jasper Therapeutics, Inc. and Lonza Sales AG.</w:t>
              </w:r>
            </w:hyperlink>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S-4/A</w:t>
            </w:r>
          </w:p>
        </w:tc>
        <w:tc>
          <w:tcPr>
            <w:tcW w:w="9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333-256875</w:t>
            </w:r>
          </w:p>
        </w:tc>
        <w:tc>
          <w:tcPr>
            <w:tcW w:w="90"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8/20/2021</w:t>
            </w:r>
          </w:p>
        </w:tc>
        <w:tc>
          <w:tcPr>
            <w:tcW w:w="9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10.26</w:t>
            </w:r>
          </w:p>
        </w:tc>
      </w:tr>
      <w:tr>
        <w:trPr/>
        <w:tc>
          <w:tcPr>
            <w:tcW w:w="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10.29^</w:t>
            </w:r>
          </w:p>
        </w:tc>
        <w:tc>
          <w:tcPr>
            <w:tcW w:w="90" w:type="dxa"/>
            <w:tcBorders/>
            <w:shd w:fill="CCEEFF" w:val="clear"/>
            <w:vAlign w:val="center"/>
          </w:tcPr>
          <w:p>
            <w:pPr>
              <w:pStyle w:val="TableContents"/>
              <w:bidi w:val="0"/>
              <w:spacing w:before="0" w:after="283"/>
              <w:jc w:val="left"/>
              <w:rPr/>
            </w:pPr>
            <w:r>
              <w:rPr/>
              <w:t> </w:t>
            </w:r>
          </w:p>
        </w:tc>
        <w:tc>
          <w:tcPr>
            <w:tcW w:w="6655" w:type="dxa"/>
            <w:tcBorders/>
            <w:shd w:fill="CCEEFF" w:val="clear"/>
            <w:vAlign w:val="center"/>
          </w:tcPr>
          <w:p>
            <w:pPr>
              <w:pStyle w:val="TableContents"/>
              <w:bidi w:val="0"/>
              <w:spacing w:before="0" w:after="283"/>
              <w:jc w:val="left"/>
              <w:rPr/>
            </w:pPr>
            <w:hyperlink r:id="rId40">
              <w:r>
                <w:rPr>
                  <w:rStyle w:val="InternetLink"/>
                  <w:rFonts w:ascii="Times New Roman;Times;Serif" w:hAnsi="Times New Roman;Times;Serif"/>
                  <w:sz w:val="20"/>
                </w:rPr>
                <w:t>Amendment No. 2 to Development and Manufacturing Services Agreement, executed December 1, 2020, by and between Jasper Therapeutics, Inc. and Lonza Sales AG.</w:t>
              </w:r>
            </w:hyperlink>
          </w:p>
        </w:tc>
        <w:tc>
          <w:tcPr>
            <w:tcW w:w="9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S-4/A</w:t>
            </w:r>
          </w:p>
        </w:tc>
        <w:tc>
          <w:tcPr>
            <w:tcW w:w="9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333-256875</w:t>
            </w:r>
          </w:p>
        </w:tc>
        <w:tc>
          <w:tcPr>
            <w:tcW w:w="90"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8/20/2021</w:t>
            </w:r>
          </w:p>
        </w:tc>
        <w:tc>
          <w:tcPr>
            <w:tcW w:w="9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10.27</w:t>
            </w:r>
          </w:p>
        </w:tc>
      </w:tr>
      <w:tr>
        <w:trPr/>
        <w:tc>
          <w:tcPr>
            <w:tcW w:w="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10.30</w:t>
            </w:r>
          </w:p>
        </w:tc>
        <w:tc>
          <w:tcPr>
            <w:tcW w:w="90" w:type="dxa"/>
            <w:tcBorders/>
            <w:vAlign w:val="center"/>
          </w:tcPr>
          <w:p>
            <w:pPr>
              <w:pStyle w:val="TableContents"/>
              <w:bidi w:val="0"/>
              <w:spacing w:before="0" w:after="283"/>
              <w:jc w:val="left"/>
              <w:rPr/>
            </w:pPr>
            <w:r>
              <w:rPr/>
              <w:t> </w:t>
            </w:r>
          </w:p>
        </w:tc>
        <w:tc>
          <w:tcPr>
            <w:tcW w:w="6655" w:type="dxa"/>
            <w:tcBorders/>
            <w:vAlign w:val="center"/>
          </w:tcPr>
          <w:p>
            <w:pPr>
              <w:pStyle w:val="TableContents"/>
              <w:bidi w:val="0"/>
              <w:spacing w:before="0" w:after="283"/>
              <w:jc w:val="left"/>
              <w:rPr/>
            </w:pPr>
            <w:hyperlink r:id="rId41">
              <w:r>
                <w:rPr>
                  <w:rStyle w:val="InternetLink"/>
                  <w:rFonts w:ascii="Times New Roman;Times;Serif" w:hAnsi="Times New Roman;Times;Serif"/>
                  <w:sz w:val="20"/>
                </w:rPr>
                <w:t>Open Market Sale Agreement</w:t>
              </w:r>
            </w:hyperlink>
            <w:hyperlink r:id="rId42">
              <w:r>
                <w:rPr>
                  <w:rStyle w:val="InternetLink"/>
                  <w:rFonts w:ascii="Times New Roman;Times;Serif" w:hAnsi="Times New Roman;Times;Serif"/>
                  <w:position w:val="7"/>
                  <w:sz w:val="16"/>
                  <w:sz w:val="20"/>
                </w:rPr>
                <w:t>SM</w:t>
              </w:r>
            </w:hyperlink>
            <w:hyperlink r:id="rId43">
              <w:r>
                <w:rPr>
                  <w:rStyle w:val="InternetLink"/>
                  <w:rFonts w:ascii="Times New Roman;Times;Serif" w:hAnsi="Times New Roman;Times;Serif"/>
                  <w:sz w:val="20"/>
                </w:rPr>
                <w:t>, dated as of March 19, 2025, by and between Jasper Therapeutics, Inc. and Jefferies LLC.</w:t>
              </w:r>
            </w:hyperlink>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w:t>
            </w:r>
          </w:p>
        </w:tc>
        <w:tc>
          <w:tcPr>
            <w:tcW w:w="9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333-285914</w:t>
            </w:r>
          </w:p>
        </w:tc>
        <w:tc>
          <w:tcPr>
            <w:tcW w:w="90"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3/19/2025</w:t>
            </w:r>
          </w:p>
        </w:tc>
        <w:tc>
          <w:tcPr>
            <w:tcW w:w="9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19.1</w:t>
            </w:r>
          </w:p>
        </w:tc>
        <w:tc>
          <w:tcPr>
            <w:tcW w:w="90" w:type="dxa"/>
            <w:tcBorders/>
            <w:shd w:fill="CCEEFF" w:val="clear"/>
            <w:vAlign w:val="center"/>
          </w:tcPr>
          <w:p>
            <w:pPr>
              <w:pStyle w:val="TableContents"/>
              <w:bidi w:val="0"/>
              <w:spacing w:before="0" w:after="283"/>
              <w:jc w:val="left"/>
              <w:rPr/>
            </w:pPr>
            <w:r>
              <w:rPr/>
              <w:t> </w:t>
            </w:r>
          </w:p>
        </w:tc>
        <w:tc>
          <w:tcPr>
            <w:tcW w:w="6655" w:type="dxa"/>
            <w:tcBorders/>
            <w:shd w:fill="CCEEFF" w:val="clear"/>
            <w:vAlign w:val="center"/>
          </w:tcPr>
          <w:p>
            <w:pPr>
              <w:pStyle w:val="TableContents"/>
              <w:bidi w:val="0"/>
              <w:spacing w:before="0" w:after="283"/>
              <w:jc w:val="left"/>
              <w:rPr/>
            </w:pPr>
            <w:hyperlink r:id="rId44">
              <w:r>
                <w:rPr>
                  <w:rStyle w:val="InternetLink"/>
                  <w:rFonts w:ascii="Times New Roman;Times;Serif" w:hAnsi="Times New Roman;Times;Serif"/>
                  <w:sz w:val="20"/>
                </w:rPr>
                <w:t>Jasper Therapeutics, Inc. Insider Trading Policy.</w:t>
              </w:r>
            </w:hyperlink>
          </w:p>
        </w:tc>
        <w:tc>
          <w:tcPr>
            <w:tcW w:w="9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9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001-39138</w:t>
            </w:r>
          </w:p>
        </w:tc>
        <w:tc>
          <w:tcPr>
            <w:tcW w:w="90"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2/28/2025</w:t>
            </w:r>
          </w:p>
        </w:tc>
        <w:tc>
          <w:tcPr>
            <w:tcW w:w="9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19.1</w:t>
            </w:r>
          </w:p>
        </w:tc>
      </w:tr>
      <w:tr>
        <w:trPr/>
        <w:tc>
          <w:tcPr>
            <w:tcW w:w="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90" w:type="dxa"/>
            <w:tcBorders/>
            <w:vAlign w:val="center"/>
          </w:tcPr>
          <w:p>
            <w:pPr>
              <w:pStyle w:val="TableContents"/>
              <w:bidi w:val="0"/>
              <w:spacing w:before="0" w:after="283"/>
              <w:jc w:val="left"/>
              <w:rPr/>
            </w:pPr>
            <w:r>
              <w:rPr/>
              <w:t> </w:t>
            </w:r>
          </w:p>
        </w:tc>
        <w:tc>
          <w:tcPr>
            <w:tcW w:w="6655" w:type="dxa"/>
            <w:tcBorders/>
            <w:vAlign w:val="center"/>
          </w:tcPr>
          <w:p>
            <w:pPr>
              <w:pStyle w:val="TableContents"/>
              <w:bidi w:val="0"/>
              <w:spacing w:before="0" w:after="283"/>
              <w:jc w:val="left"/>
              <w:rPr/>
            </w:pPr>
            <w:hyperlink r:id="rId45">
              <w:r>
                <w:rPr>
                  <w:rStyle w:val="InternetLink"/>
                  <w:rFonts w:ascii="Times New Roman;Times;Serif" w:hAnsi="Times New Roman;Times;Serif"/>
                  <w:sz w:val="20"/>
                </w:rPr>
                <w:t>List of Subsidiaries of the Registrant.</w:t>
              </w:r>
            </w:hyperlink>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001-39138</w:t>
            </w:r>
          </w:p>
        </w:tc>
        <w:tc>
          <w:tcPr>
            <w:tcW w:w="90"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9/29/2021</w:t>
            </w:r>
          </w:p>
        </w:tc>
        <w:tc>
          <w:tcPr>
            <w:tcW w:w="9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21.1</w:t>
            </w:r>
          </w:p>
        </w:tc>
      </w:tr>
      <w:tr>
        <w:trPr/>
        <w:tc>
          <w:tcPr>
            <w:tcW w:w="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90" w:type="dxa"/>
            <w:tcBorders/>
            <w:shd w:fill="CCEEFF" w:val="clear"/>
            <w:vAlign w:val="center"/>
          </w:tcPr>
          <w:p>
            <w:pPr>
              <w:pStyle w:val="TableContents"/>
              <w:bidi w:val="0"/>
              <w:spacing w:before="0" w:after="283"/>
              <w:jc w:val="left"/>
              <w:rPr/>
            </w:pPr>
            <w:r>
              <w:rPr/>
              <w:t> </w:t>
            </w:r>
          </w:p>
        </w:tc>
        <w:tc>
          <w:tcPr>
            <w:tcW w:w="6655" w:type="dxa"/>
            <w:tcBorders/>
            <w:shd w:fill="CCEEFF" w:val="clear"/>
            <w:vAlign w:val="center"/>
          </w:tcPr>
          <w:p>
            <w:pPr>
              <w:pStyle w:val="TableContents"/>
              <w:bidi w:val="0"/>
              <w:spacing w:before="0" w:after="283"/>
              <w:jc w:val="left"/>
              <w:rPr/>
            </w:pPr>
            <w:hyperlink r:id="rId46">
              <w:r>
                <w:rPr>
                  <w:rStyle w:val="InternetLink"/>
                  <w:rFonts w:ascii="Times New Roman;Times;Serif" w:hAnsi="Times New Roman;Times;Serif"/>
                  <w:sz w:val="20"/>
                </w:rPr>
                <w:t>Consent of Independent Registered Public Accounting Firm.</w:t>
              </w:r>
            </w:hyperlink>
          </w:p>
        </w:tc>
        <w:tc>
          <w:tcPr>
            <w:tcW w:w="9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 </w:t>
            </w:r>
          </w:p>
        </w:tc>
        <w:tc>
          <w:tcPr>
            <w:tcW w:w="9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001-3913</w:t>
            </w:r>
          </w:p>
        </w:tc>
        <w:tc>
          <w:tcPr>
            <w:tcW w:w="90"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3/30/2026</w:t>
            </w:r>
          </w:p>
        </w:tc>
        <w:tc>
          <w:tcPr>
            <w:tcW w:w="9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23.1</w:t>
            </w:r>
          </w:p>
        </w:tc>
      </w:tr>
      <w:tr>
        <w:trPr/>
        <w:tc>
          <w:tcPr>
            <w:tcW w:w="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90" w:type="dxa"/>
            <w:tcBorders/>
            <w:vAlign w:val="center"/>
          </w:tcPr>
          <w:p>
            <w:pPr>
              <w:pStyle w:val="TableContents"/>
              <w:bidi w:val="0"/>
              <w:spacing w:before="0" w:after="283"/>
              <w:jc w:val="left"/>
              <w:rPr/>
            </w:pPr>
            <w:r>
              <w:rPr/>
              <w:t> </w:t>
            </w:r>
          </w:p>
        </w:tc>
        <w:tc>
          <w:tcPr>
            <w:tcW w:w="6655" w:type="dxa"/>
            <w:tcBorders/>
            <w:vAlign w:val="center"/>
          </w:tcPr>
          <w:p>
            <w:pPr>
              <w:pStyle w:val="TableContents"/>
              <w:bidi w:val="0"/>
              <w:spacing w:before="0" w:after="283"/>
              <w:jc w:val="left"/>
              <w:rPr/>
            </w:pPr>
            <w:hyperlink r:id="rId47">
              <w:r>
                <w:rPr>
                  <w:rStyle w:val="InternetLink"/>
                  <w:rFonts w:ascii="Times New Roman;Times;Serif" w:hAnsi="Times New Roman;Times;Serif"/>
                  <w:sz w:val="20"/>
                </w:rPr>
                <w:t>Certification of the Principal Executive Officer pursuant to Rule 13a-14(a) or 15d-14(a) of the Securities Exchange Act of 1934.</w:t>
              </w:r>
            </w:hyperlink>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 </w:t>
            </w:r>
          </w:p>
        </w:tc>
        <w:tc>
          <w:tcPr>
            <w:tcW w:w="9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pPr>
            <w:r>
              <w:rPr/>
              <w:t> </w:t>
            </w:r>
            <w:r>
              <w:rPr>
                <w:rFonts w:ascii="Times New Roman;Times;Serif" w:hAnsi="Times New Roman;Times;Serif"/>
                <w:sz w:val="20"/>
              </w:rPr>
              <w:t>001-3913</w:t>
            </w:r>
          </w:p>
        </w:tc>
        <w:tc>
          <w:tcPr>
            <w:tcW w:w="90"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3/30/2026</w:t>
            </w:r>
          </w:p>
        </w:tc>
        <w:tc>
          <w:tcPr>
            <w:tcW w:w="9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31.1</w:t>
            </w:r>
          </w:p>
        </w:tc>
      </w:tr>
      <w:tr>
        <w:trPr/>
        <w:tc>
          <w:tcPr>
            <w:tcW w:w="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90" w:type="dxa"/>
            <w:tcBorders/>
            <w:shd w:fill="CCEEFF" w:val="clear"/>
            <w:vAlign w:val="center"/>
          </w:tcPr>
          <w:p>
            <w:pPr>
              <w:pStyle w:val="TableContents"/>
              <w:bidi w:val="0"/>
              <w:spacing w:before="0" w:after="283"/>
              <w:jc w:val="left"/>
              <w:rPr/>
            </w:pPr>
            <w:r>
              <w:rPr/>
              <w:t> </w:t>
            </w:r>
          </w:p>
        </w:tc>
        <w:tc>
          <w:tcPr>
            <w:tcW w:w="6655" w:type="dxa"/>
            <w:tcBorders/>
            <w:shd w:fill="CCEEFF" w:val="clear"/>
            <w:vAlign w:val="center"/>
          </w:tcPr>
          <w:p>
            <w:pPr>
              <w:pStyle w:val="TableContents"/>
              <w:bidi w:val="0"/>
              <w:spacing w:before="0" w:after="283"/>
              <w:jc w:val="left"/>
              <w:rPr/>
            </w:pPr>
            <w:hyperlink r:id="rId48">
              <w:r>
                <w:rPr>
                  <w:rStyle w:val="InternetLink"/>
                  <w:rFonts w:ascii="Times New Roman;Times;Serif" w:hAnsi="Times New Roman;Times;Serif"/>
                  <w:sz w:val="20"/>
                </w:rPr>
                <w:t>Certification of the Principal Financial Officer pursuant to Rule 13a-14(a) or 15d-14(a) of the Securities Exchange Act of 1934.</w:t>
              </w:r>
            </w:hyperlink>
          </w:p>
        </w:tc>
        <w:tc>
          <w:tcPr>
            <w:tcW w:w="9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 </w:t>
            </w:r>
          </w:p>
        </w:tc>
        <w:tc>
          <w:tcPr>
            <w:tcW w:w="9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001-3913</w:t>
            </w:r>
          </w:p>
        </w:tc>
        <w:tc>
          <w:tcPr>
            <w:tcW w:w="90"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3/30/2026</w:t>
            </w:r>
          </w:p>
        </w:tc>
        <w:tc>
          <w:tcPr>
            <w:tcW w:w="9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31.2</w:t>
            </w:r>
          </w:p>
        </w:tc>
      </w:tr>
      <w:tr>
        <w:trPr/>
        <w:tc>
          <w:tcPr>
            <w:tcW w:w="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w:t>
            </w:r>
          </w:p>
        </w:tc>
        <w:tc>
          <w:tcPr>
            <w:tcW w:w="90" w:type="dxa"/>
            <w:tcBorders/>
            <w:vAlign w:val="center"/>
          </w:tcPr>
          <w:p>
            <w:pPr>
              <w:pStyle w:val="TableContents"/>
              <w:bidi w:val="0"/>
              <w:spacing w:before="0" w:after="283"/>
              <w:jc w:val="left"/>
              <w:rPr/>
            </w:pPr>
            <w:r>
              <w:rPr/>
              <w:t> </w:t>
            </w:r>
          </w:p>
        </w:tc>
        <w:tc>
          <w:tcPr>
            <w:tcW w:w="6655" w:type="dxa"/>
            <w:tcBorders/>
            <w:vAlign w:val="center"/>
          </w:tcPr>
          <w:p>
            <w:pPr>
              <w:pStyle w:val="TableContents"/>
              <w:bidi w:val="0"/>
              <w:spacing w:before="0" w:after="283"/>
              <w:jc w:val="left"/>
              <w:rPr/>
            </w:pPr>
            <w:hyperlink w:anchor="ea028735601ex31-3.htm">
              <w:r>
                <w:rPr>
                  <w:rStyle w:val="InternetLink"/>
                  <w:rFonts w:ascii="Times New Roman;Times;Serif" w:hAnsi="Times New Roman;Times;Serif"/>
                  <w:strike w:val="false"/>
                  <w:dstrike w:val="false"/>
                  <w:sz w:val="20"/>
                  <w:u w:val="none"/>
                  <w:effect w:val="none"/>
                </w:rPr>
                <w:t>Certification of the Principal Executive Officer pursuant to Rule 13a-14(a) or 15d-14(a) of the Securities Exchange Act of 1934.</w:t>
              </w:r>
            </w:hyperlink>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center"/>
              <w:rPr/>
            </w:pPr>
            <w:r>
              <w:rPr/>
              <w:t> </w:t>
            </w:r>
          </w:p>
        </w:tc>
      </w:tr>
      <w:tr>
        <w:trPr/>
        <w:tc>
          <w:tcPr>
            <w:tcW w:w="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w:t>
            </w:r>
          </w:p>
        </w:tc>
        <w:tc>
          <w:tcPr>
            <w:tcW w:w="90" w:type="dxa"/>
            <w:tcBorders/>
            <w:shd w:fill="CCEEFF" w:val="clear"/>
            <w:vAlign w:val="center"/>
          </w:tcPr>
          <w:p>
            <w:pPr>
              <w:pStyle w:val="TableContents"/>
              <w:bidi w:val="0"/>
              <w:spacing w:before="0" w:after="283"/>
              <w:jc w:val="left"/>
              <w:rPr/>
            </w:pPr>
            <w:r>
              <w:rPr/>
              <w:t> </w:t>
            </w:r>
          </w:p>
        </w:tc>
        <w:tc>
          <w:tcPr>
            <w:tcW w:w="6655" w:type="dxa"/>
            <w:tcBorders/>
            <w:shd w:fill="CCEEFF" w:val="clear"/>
            <w:vAlign w:val="center"/>
          </w:tcPr>
          <w:p>
            <w:pPr>
              <w:pStyle w:val="TableContents"/>
              <w:bidi w:val="0"/>
              <w:spacing w:before="0" w:after="283"/>
              <w:jc w:val="left"/>
              <w:rPr/>
            </w:pPr>
            <w:hyperlink w:anchor="ea028735601ex31-4.htm">
              <w:r>
                <w:rPr>
                  <w:rStyle w:val="InternetLink"/>
                  <w:rFonts w:ascii="Times New Roman;Times;Serif" w:hAnsi="Times New Roman;Times;Serif"/>
                  <w:strike w:val="false"/>
                  <w:dstrike w:val="false"/>
                  <w:sz w:val="20"/>
                  <w:u w:val="none"/>
                  <w:effect w:val="none"/>
                </w:rPr>
                <w:t>Certification of the Principal Financial Officer pursuant to Rule 13a-14(a) or 15d-14(a) of the Securities Exchange Act of 1934.</w:t>
              </w:r>
            </w:hyperlink>
          </w:p>
        </w:tc>
        <w:tc>
          <w:tcPr>
            <w:tcW w:w="9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center"/>
              <w:rPr/>
            </w:pPr>
            <w:r>
              <w:rPr/>
              <w:t> </w:t>
            </w:r>
          </w:p>
        </w:tc>
      </w:tr>
      <w:tr>
        <w:trPr/>
        <w:tc>
          <w:tcPr>
            <w:tcW w:w="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90" w:type="dxa"/>
            <w:tcBorders/>
            <w:vAlign w:val="center"/>
          </w:tcPr>
          <w:p>
            <w:pPr>
              <w:pStyle w:val="TableContents"/>
              <w:bidi w:val="0"/>
              <w:spacing w:before="0" w:after="283"/>
              <w:jc w:val="left"/>
              <w:rPr/>
            </w:pPr>
            <w:r>
              <w:rPr/>
              <w:t> </w:t>
            </w:r>
          </w:p>
        </w:tc>
        <w:tc>
          <w:tcPr>
            <w:tcW w:w="6655" w:type="dxa"/>
            <w:tcBorders/>
            <w:vAlign w:val="center"/>
          </w:tcPr>
          <w:p>
            <w:pPr>
              <w:pStyle w:val="TableContents"/>
              <w:bidi w:val="0"/>
              <w:spacing w:before="0" w:after="283"/>
              <w:jc w:val="left"/>
              <w:rPr/>
            </w:pPr>
            <w:hyperlink r:id="rId49">
              <w:r>
                <w:rPr>
                  <w:rStyle w:val="InternetLink"/>
                  <w:rFonts w:ascii="Times New Roman;Times;Serif" w:hAnsi="Times New Roman;Times;Serif"/>
                  <w:sz w:val="20"/>
                </w:rPr>
                <w:t>Certification of the Principal Executive Officer and Principal Financial Officer pursuant to 18 U.S.C. Section 1350, as adopted pursuant to Section 906 of the Sarbanes-Oxley Act of 2002.</w:t>
              </w:r>
            </w:hyperlink>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 </w:t>
            </w:r>
          </w:p>
        </w:tc>
        <w:tc>
          <w:tcPr>
            <w:tcW w:w="9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pPr>
            <w:r>
              <w:rPr/>
              <w:t> </w:t>
            </w:r>
            <w:r>
              <w:rPr>
                <w:rFonts w:ascii="Times New Roman;Times;Serif" w:hAnsi="Times New Roman;Times;Serif"/>
                <w:sz w:val="20"/>
              </w:rPr>
              <w:t>001-3913</w:t>
            </w:r>
          </w:p>
        </w:tc>
        <w:tc>
          <w:tcPr>
            <w:tcW w:w="90"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3/30/2026</w:t>
            </w:r>
          </w:p>
        </w:tc>
        <w:tc>
          <w:tcPr>
            <w:tcW w:w="9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32.1</w:t>
            </w:r>
          </w:p>
        </w:tc>
      </w:tr>
      <w:tr>
        <w:trPr/>
        <w:tc>
          <w:tcPr>
            <w:tcW w:w="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w:t>
            </w:r>
          </w:p>
        </w:tc>
        <w:tc>
          <w:tcPr>
            <w:tcW w:w="90" w:type="dxa"/>
            <w:tcBorders/>
            <w:shd w:fill="CCEEFF" w:val="clear"/>
            <w:vAlign w:val="center"/>
          </w:tcPr>
          <w:p>
            <w:pPr>
              <w:pStyle w:val="TableContents"/>
              <w:bidi w:val="0"/>
              <w:spacing w:before="0" w:after="283"/>
              <w:jc w:val="left"/>
              <w:rPr/>
            </w:pPr>
            <w:r>
              <w:rPr/>
              <w:t> </w:t>
            </w:r>
          </w:p>
        </w:tc>
        <w:tc>
          <w:tcPr>
            <w:tcW w:w="6655" w:type="dxa"/>
            <w:tcBorders/>
            <w:shd w:fill="CCEEFF" w:val="clear"/>
            <w:vAlign w:val="center"/>
          </w:tcPr>
          <w:p>
            <w:pPr>
              <w:pStyle w:val="TableContents"/>
              <w:bidi w:val="0"/>
              <w:spacing w:before="0" w:after="283"/>
              <w:jc w:val="left"/>
              <w:rPr/>
            </w:pPr>
            <w:hyperlink r:id="rId50">
              <w:r>
                <w:rPr>
                  <w:rStyle w:val="InternetLink"/>
                  <w:rFonts w:ascii="Times New Roman;Times;Serif" w:hAnsi="Times New Roman;Times;Serif"/>
                  <w:sz w:val="20"/>
                </w:rPr>
                <w:t>Jasper Therapeutics, Inc. Clawback Policy</w:t>
              </w:r>
            </w:hyperlink>
            <w:r>
              <w:rPr/>
              <w:t> </w:t>
            </w:r>
          </w:p>
        </w:tc>
        <w:tc>
          <w:tcPr>
            <w:tcW w:w="9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 </w:t>
            </w:r>
          </w:p>
        </w:tc>
        <w:tc>
          <w:tcPr>
            <w:tcW w:w="9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001-39138</w:t>
            </w:r>
          </w:p>
        </w:tc>
        <w:tc>
          <w:tcPr>
            <w:tcW w:w="90"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3/5/2024</w:t>
            </w:r>
          </w:p>
        </w:tc>
        <w:tc>
          <w:tcPr>
            <w:tcW w:w="9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97 </w:t>
            </w:r>
          </w:p>
        </w:tc>
      </w:tr>
      <w:tr>
        <w:trPr/>
        <w:tc>
          <w:tcPr>
            <w:tcW w:w="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90" w:type="dxa"/>
            <w:tcBorders/>
            <w:vAlign w:val="center"/>
          </w:tcPr>
          <w:p>
            <w:pPr>
              <w:pStyle w:val="TableContents"/>
              <w:bidi w:val="0"/>
              <w:spacing w:before="0" w:after="283"/>
              <w:jc w:val="left"/>
              <w:rPr/>
            </w:pPr>
            <w:r>
              <w:rPr/>
              <w:t> </w:t>
            </w:r>
          </w:p>
        </w:tc>
        <w:tc>
          <w:tcPr>
            <w:tcW w:w="6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center"/>
              <w:rPr/>
            </w:pPr>
            <w:r>
              <w:rPr/>
              <w:t> </w:t>
            </w:r>
          </w:p>
        </w:tc>
      </w:tr>
      <w:tr>
        <w:trPr/>
        <w:tc>
          <w:tcPr>
            <w:tcW w:w="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90" w:type="dxa"/>
            <w:tcBorders/>
            <w:shd w:fill="CCEEFF" w:val="clear"/>
            <w:vAlign w:val="center"/>
          </w:tcPr>
          <w:p>
            <w:pPr>
              <w:pStyle w:val="TableContents"/>
              <w:bidi w:val="0"/>
              <w:spacing w:before="0" w:after="283"/>
              <w:jc w:val="left"/>
              <w:rPr/>
            </w:pPr>
            <w:r>
              <w:rPr/>
              <w:t> </w:t>
            </w:r>
          </w:p>
        </w:tc>
        <w:tc>
          <w:tcPr>
            <w:tcW w:w="6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9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center"/>
              <w:rPr/>
            </w:pPr>
            <w:r>
              <w:rPr/>
              <w:t> </w:t>
            </w:r>
          </w:p>
        </w:tc>
      </w:tr>
      <w:tr>
        <w:trPr/>
        <w:tc>
          <w:tcPr>
            <w:tcW w:w="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90" w:type="dxa"/>
            <w:tcBorders/>
            <w:vAlign w:val="center"/>
          </w:tcPr>
          <w:p>
            <w:pPr>
              <w:pStyle w:val="TableContents"/>
              <w:bidi w:val="0"/>
              <w:spacing w:before="0" w:after="283"/>
              <w:jc w:val="left"/>
              <w:rPr/>
            </w:pPr>
            <w:r>
              <w:rPr/>
              <w:t> </w:t>
            </w:r>
          </w:p>
        </w:tc>
        <w:tc>
          <w:tcPr>
            <w:tcW w:w="6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center"/>
              <w:rPr/>
            </w:pPr>
            <w:r>
              <w:rPr/>
              <w:t> </w:t>
            </w:r>
          </w:p>
        </w:tc>
      </w:tr>
      <w:tr>
        <w:trPr/>
        <w:tc>
          <w:tcPr>
            <w:tcW w:w="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90" w:type="dxa"/>
            <w:tcBorders/>
            <w:shd w:fill="CCEEFF" w:val="clear"/>
            <w:vAlign w:val="center"/>
          </w:tcPr>
          <w:p>
            <w:pPr>
              <w:pStyle w:val="TableContents"/>
              <w:bidi w:val="0"/>
              <w:spacing w:before="0" w:after="283"/>
              <w:jc w:val="left"/>
              <w:rPr/>
            </w:pPr>
            <w:r>
              <w:rPr/>
              <w:t> </w:t>
            </w:r>
          </w:p>
        </w:tc>
        <w:tc>
          <w:tcPr>
            <w:tcW w:w="6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9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center"/>
              <w:rPr/>
            </w:pPr>
            <w:r>
              <w:rPr/>
              <w:t> </w:t>
            </w:r>
          </w:p>
        </w:tc>
      </w:tr>
      <w:tr>
        <w:trPr/>
        <w:tc>
          <w:tcPr>
            <w:tcW w:w="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90" w:type="dxa"/>
            <w:tcBorders/>
            <w:vAlign w:val="center"/>
          </w:tcPr>
          <w:p>
            <w:pPr>
              <w:pStyle w:val="TableContents"/>
              <w:bidi w:val="0"/>
              <w:spacing w:before="0" w:after="283"/>
              <w:jc w:val="left"/>
              <w:rPr/>
            </w:pPr>
            <w:r>
              <w:rPr/>
              <w:t> </w:t>
            </w:r>
          </w:p>
        </w:tc>
        <w:tc>
          <w:tcPr>
            <w:tcW w:w="6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center"/>
              <w:rPr/>
            </w:pPr>
            <w:r>
              <w:rPr/>
              <w:t> </w:t>
            </w:r>
          </w:p>
        </w:tc>
      </w:tr>
      <w:tr>
        <w:trPr/>
        <w:tc>
          <w:tcPr>
            <w:tcW w:w="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90" w:type="dxa"/>
            <w:tcBorders/>
            <w:shd w:fill="CCEEFF" w:val="clear"/>
            <w:vAlign w:val="center"/>
          </w:tcPr>
          <w:p>
            <w:pPr>
              <w:pStyle w:val="TableContents"/>
              <w:bidi w:val="0"/>
              <w:spacing w:before="0" w:after="283"/>
              <w:jc w:val="left"/>
              <w:rPr/>
            </w:pPr>
            <w:r>
              <w:rPr/>
              <w:t> </w:t>
            </w:r>
          </w:p>
        </w:tc>
        <w:tc>
          <w:tcPr>
            <w:tcW w:w="6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9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center"/>
              <w:rPr/>
            </w:pPr>
            <w:r>
              <w:rPr/>
              <w:t> </w:t>
            </w:r>
          </w:p>
        </w:tc>
      </w:tr>
      <w:tr>
        <w:trPr/>
        <w:tc>
          <w:tcPr>
            <w:tcW w:w="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vAlign w:val="center"/>
          </w:tcPr>
          <w:p>
            <w:pPr>
              <w:pStyle w:val="TableContents"/>
              <w:bidi w:val="0"/>
              <w:spacing w:before="0" w:after="283"/>
              <w:jc w:val="left"/>
              <w:rPr/>
            </w:pPr>
            <w:r>
              <w:rPr/>
              <w:t> </w:t>
            </w:r>
          </w:p>
        </w:tc>
        <w:tc>
          <w:tcPr>
            <w:tcW w:w="6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annexes, schedules, and certain exhibits to the Business Combination Agreement have been omitted pursuant to Item 601(b)(2) of Regulation S-K. The Registrant hereby agrees to furnish supplementally a copy of any omitted annex, schedule or exhibit to the SEC upon request.</w:t>
            </w:r>
          </w:p>
        </w:tc>
      </w:tr>
    </w:tbl>
    <w:tbl>
      <w:tblPr>
        <w:tblW w:w="6025" w:type="dxa"/>
        <w:jc w:val="left"/>
        <w:tblInd w:w="0" w:type="dxa"/>
        <w:tblLayout w:type="fixed"/>
        <w:tblCellMar>
          <w:top w:w="0" w:type="dxa"/>
          <w:left w:w="0" w:type="dxa"/>
          <w:bottom w:w="0" w:type="dxa"/>
          <w:right w:w="0" w:type="dxa"/>
        </w:tblCellMar>
      </w:tblPr>
      <w:tblGrid>
        <w:gridCol w:w="170"/>
        <w:gridCol w:w="585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Indicates a management contract or compensatory plan or arrangement.</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identified information has been omitted pursuant to Item 601(b)(10) of Regulation S-K because such information is both (i) not material and (ii) of the type that the Registrant treats as private or confidential. The Registrant hereby undertakes to furnish supplemental copies of the unredacted exhibit upon request by the SEC.</w:t>
            </w:r>
          </w:p>
        </w:tc>
      </w:tr>
    </w:tbl>
    <w:tbl>
      <w:tblPr>
        <w:tblW w:w="1600" w:type="dxa"/>
        <w:jc w:val="left"/>
        <w:tblInd w:w="0" w:type="dxa"/>
        <w:tblLayout w:type="fixed"/>
        <w:tblCellMar>
          <w:top w:w="0" w:type="dxa"/>
          <w:left w:w="0" w:type="dxa"/>
          <w:bottom w:w="0" w:type="dxa"/>
          <w:right w:w="0" w:type="dxa"/>
        </w:tblCellMar>
      </w:tblPr>
      <w:tblGrid>
        <w:gridCol w:w="170"/>
        <w:gridCol w:w="143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w:t>
            </w:r>
          </w:p>
        </w:tc>
      </w:tr>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tbl>
      <w:tblPr>
        <w:tblW w:w="2095" w:type="dxa"/>
        <w:jc w:val="left"/>
        <w:tblInd w:w="0" w:type="dxa"/>
        <w:tblLayout w:type="fixed"/>
        <w:tblCellMar>
          <w:top w:w="0" w:type="dxa"/>
          <w:left w:w="0" w:type="dxa"/>
          <w:bottom w:w="0" w:type="dxa"/>
          <w:right w:w="0" w:type="dxa"/>
        </w:tblCellMar>
      </w:tblPr>
      <w:tblGrid>
        <w:gridCol w:w="275"/>
        <w:gridCol w:w="182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furnished.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7"/>
      <w:bookmarkEnd w:id="10"/>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614" w:type="dxa"/>
        <w:jc w:val="left"/>
        <w:tblInd w:w="0" w:type="dxa"/>
        <w:tblLayout w:type="fixed"/>
        <w:tblCellMar>
          <w:top w:w="0" w:type="dxa"/>
          <w:left w:w="0" w:type="dxa"/>
          <w:bottom w:w="0" w:type="dxa"/>
          <w:right w:w="0" w:type="dxa"/>
        </w:tblCellMar>
      </w:tblPr>
      <w:tblGrid>
        <w:gridCol w:w="1730"/>
        <w:gridCol w:w="426"/>
        <w:gridCol w:w="2458"/>
      </w:tblGrid>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30, 2026</w:t>
            </w:r>
          </w:p>
        </w:tc>
        <w:tc>
          <w:tcPr>
            <w:tcW w:w="28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JASPER THERAPEUTICS, INC.</w:t>
            </w:r>
          </w:p>
        </w:tc>
      </w:tr>
      <w:tr>
        <w:trPr/>
        <w:tc>
          <w:tcPr>
            <w:tcW w:w="1730" w:type="dxa"/>
            <w:tcBorders/>
            <w:vAlign w:val="center"/>
          </w:tcPr>
          <w:p>
            <w:pPr>
              <w:pStyle w:val="TableContents"/>
              <w:bidi w:val="0"/>
              <w:spacing w:before="0" w:after="283"/>
              <w:jc w:val="left"/>
              <w:rPr/>
            </w:pPr>
            <w:r>
              <w:rPr/>
              <w:t> </w:t>
            </w:r>
          </w:p>
        </w:tc>
        <w:tc>
          <w:tcPr>
            <w:tcW w:w="2884" w:type="dxa"/>
            <w:gridSpan w:val="2"/>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58"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Jeet Mahal</w:t>
            </w:r>
          </w:p>
        </w:tc>
      </w:tr>
      <w:tr>
        <w:trPr/>
        <w:tc>
          <w:tcPr>
            <w:tcW w:w="173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 </w:t>
            </w:r>
          </w:p>
        </w:tc>
        <w:tc>
          <w:tcPr>
            <w:tcW w:w="245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Jeet Mahal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11" w:name="ea028735601ex31-3.htm"/>
      <w:bookmarkStart w:id="12" w:name="ksea028735601ex313"/>
      <w:bookmarkEnd w:id="11"/>
      <w:bookmarkEnd w:id="12"/>
      <w:r>
        <w:rPr>
          <w:b/>
        </w:rPr>
        <w:t>Exhibit 31.3</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adopted 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Jeet Mahal, certify that:</w:t>
      </w:r>
    </w:p>
    <w:p>
      <w:pPr>
        <w:pStyle w:val="TextBody"/>
        <w:bidi w:val="0"/>
        <w:spacing w:before="0" w:after="0"/>
        <w:ind w:left="0" w:right="0" w:hanging="0"/>
        <w:jc w:val="both"/>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75"/>
        <w:gridCol w:w="170"/>
        <w:gridCol w:w="8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Amendment No. 1 to the Annual Report on Form 10-K/A of Jasper Therapeutics, Inc.; and</w:t>
            </w:r>
          </w:p>
        </w:tc>
      </w:tr>
    </w:tbl>
    <w:p>
      <w:pPr>
        <w:pStyle w:val="TextBody"/>
        <w:bidi w:val="0"/>
        <w:spacing w:before="0" w:after="0"/>
        <w:ind w:left="4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4025" w:type="dxa"/>
        <w:jc w:val="left"/>
        <w:tblInd w:w="0" w:type="dxa"/>
        <w:tblLayout w:type="fixed"/>
        <w:tblCellMar>
          <w:top w:w="0" w:type="dxa"/>
          <w:left w:w="0" w:type="dxa"/>
          <w:bottom w:w="0" w:type="dxa"/>
          <w:right w:w="0" w:type="dxa"/>
        </w:tblCellMar>
      </w:tblPr>
      <w:tblGrid>
        <w:gridCol w:w="75"/>
        <w:gridCol w:w="3950"/>
      </w:tblGrid>
      <w:tr>
        <w:trPr/>
        <w:tc>
          <w:tcPr>
            <w:tcW w:w="75"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Jeet Mahal</w:t>
            </w:r>
          </w:p>
        </w:tc>
      </w:tr>
      <w:tr>
        <w:trPr/>
        <w:tc>
          <w:tcPr>
            <w:tcW w:w="75" w:type="dxa"/>
            <w:tcBorders/>
            <w:vAlign w:val="center"/>
          </w:tcPr>
          <w:p>
            <w:pPr>
              <w:pStyle w:val="TableContents"/>
              <w:bidi w:val="0"/>
              <w:spacing w:before="0" w:after="283"/>
              <w:jc w:val="left"/>
              <w:rPr/>
            </w:pPr>
            <w:r>
              <w:rPr/>
              <w:t> </w:t>
            </w:r>
          </w:p>
        </w:tc>
        <w:tc>
          <w:tcPr>
            <w:tcW w:w="3950" w:type="dxa"/>
            <w:tcBorders>
              <w:top w:val="single" w:sz="1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Jeet Mahal</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Chief Executive Officer, and Director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13" w:name="ea028735601ex31-4.htm"/>
      <w:bookmarkStart w:id="14" w:name="ksea028735601ex314"/>
      <w:bookmarkEnd w:id="13"/>
      <w:bookmarkEnd w:id="14"/>
      <w:r>
        <w:rPr>
          <w:b/>
        </w:rPr>
        <w:t>Exhibit 31.4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adopted pursuant to 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Herb Cross, certify that:</w:t>
      </w:r>
    </w:p>
    <w:p>
      <w:pPr>
        <w:pStyle w:val="TextBody"/>
        <w:bidi w:val="0"/>
        <w:spacing w:before="0" w:after="0"/>
        <w:ind w:left="0" w:right="0" w:hanging="0"/>
        <w:jc w:val="both"/>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75"/>
        <w:gridCol w:w="170"/>
        <w:gridCol w:w="8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Amendment No. 1 to the Annual Report on Form 10-K/A of Jasper Therapeutics, Inc.;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4115" w:type="dxa"/>
        <w:jc w:val="left"/>
        <w:tblInd w:w="0" w:type="dxa"/>
        <w:tblLayout w:type="fixed"/>
        <w:tblCellMar>
          <w:top w:w="0" w:type="dxa"/>
          <w:left w:w="0" w:type="dxa"/>
          <w:bottom w:w="0" w:type="dxa"/>
          <w:right w:w="0" w:type="dxa"/>
        </w:tblCellMar>
      </w:tblPr>
      <w:tblGrid>
        <w:gridCol w:w="75"/>
        <w:gridCol w:w="4040"/>
      </w:tblGrid>
      <w:tr>
        <w:trPr/>
        <w:tc>
          <w:tcPr>
            <w:tcW w:w="75"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Herb Cross</w:t>
            </w:r>
          </w:p>
        </w:tc>
      </w:tr>
      <w:tr>
        <w:trPr/>
        <w:tc>
          <w:tcPr>
            <w:tcW w:w="75" w:type="dxa"/>
            <w:tcBorders/>
            <w:vAlign w:val="center"/>
          </w:tcPr>
          <w:p>
            <w:pPr>
              <w:pStyle w:val="TableContents"/>
              <w:bidi w:val="0"/>
              <w:spacing w:before="0" w:after="283"/>
              <w:jc w:val="left"/>
              <w:rPr/>
            </w:pPr>
            <w:r>
              <w:rPr/>
              <w:t> </w:t>
            </w:r>
          </w:p>
        </w:tc>
        <w:tc>
          <w:tcPr>
            <w:tcW w:w="4040" w:type="dxa"/>
            <w:tcBorders>
              <w:top w:val="single" w:sz="1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Herb Cross</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 and Corporate Secretary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April 30, 2026</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88028/000121390021024792/ea140401ex2-1_amplitude.htm" TargetMode="External"/><Relationship Id="rId3" Type="http://schemas.openxmlformats.org/officeDocument/2006/relationships/hyperlink" Target="http://www.sec.gov/Archives/edgar/data/1788028/000121390021050592/ea147929ex3-1_jasper.htm" TargetMode="External"/><Relationship Id="rId4" Type="http://schemas.openxmlformats.org/officeDocument/2006/relationships/hyperlink" Target="http://www.sec.gov/Archives/edgar/data/1788028/000121390023047446/ea179979ex3-1_jasper.htm" TargetMode="External"/><Relationship Id="rId5" Type="http://schemas.openxmlformats.org/officeDocument/2006/relationships/hyperlink" Target="http://www.sec.gov/Archives/edgar/data/1788028/000121390024000980/ea191024ex3-1_jasper.htm" TargetMode="External"/><Relationship Id="rId6" Type="http://schemas.openxmlformats.org/officeDocument/2006/relationships/hyperlink" Target="http://www.sec.gov/Archives/edgar/data/1788028/000121390023012596/ea173877ex3-1_jasper.htm" TargetMode="External"/><Relationship Id="rId7" Type="http://schemas.openxmlformats.org/officeDocument/2006/relationships/hyperlink" Target="http://www.sec.gov/Archives/edgar/data/1788028/000121390019024606/f8k1119ex4-1_amplitude.htm" TargetMode="External"/><Relationship Id="rId8" Type="http://schemas.openxmlformats.org/officeDocument/2006/relationships/hyperlink" Target="http://www.sec.gov/Archives/edgar/data/1788028/000121390019022224/fs12019a1ex4-3_amplitude.htm" TargetMode="External"/><Relationship Id="rId9" Type="http://schemas.openxmlformats.org/officeDocument/2006/relationships/hyperlink" Target="http://www.sec.gov/Archives/edgar/data/1788028/000121390025089584/ea025802601ex4-1_jasper.htm" TargetMode="External"/><Relationship Id="rId10" Type="http://schemas.openxmlformats.org/officeDocument/2006/relationships/hyperlink" Target="https://www.sec.gov/Archives/edgar/data/1788028/000121390025089584/ea025802601ex4-2_jasper.htm" TargetMode="External"/><Relationship Id="rId11" Type="http://schemas.openxmlformats.org/officeDocument/2006/relationships/hyperlink" Target="https://www.sec.gov/Archives/edgar/data/1788028/000121390026036426/ea028212801ex4-5.htm" TargetMode="External"/><Relationship Id="rId12" Type="http://schemas.openxmlformats.org/officeDocument/2006/relationships/hyperlink" Target="http://www.sec.gov/Archives/edgar/data/1788028/000121390021050592/ea147929ex10-3_jasper.htm" TargetMode="External"/><Relationship Id="rId13" Type="http://schemas.openxmlformats.org/officeDocument/2006/relationships/hyperlink" Target="http://www.sec.gov/Archives/edgar/data/1788028/000121390021050592/ea147929ex10-2_jasper.htm" TargetMode="External"/><Relationship Id="rId14" Type="http://schemas.openxmlformats.org/officeDocument/2006/relationships/hyperlink" Target="http://www.sec.gov/Archives/edgar/data/1788028/000121390024050751/ea020728501ex4-3_jasper.htm" TargetMode="External"/><Relationship Id="rId15" Type="http://schemas.openxmlformats.org/officeDocument/2006/relationships/hyperlink" Target="http://www.sec.gov/Archives/edgar/data/1788028/000121390024050751/ea020728501ex4-4_jasper.htm" TargetMode="External"/><Relationship Id="rId16" Type="http://schemas.openxmlformats.org/officeDocument/2006/relationships/hyperlink" Target="http://www.sec.gov/Archives/edgar/data/1788028/000121390024050751/ea020728501ex4-5_jasper.htm" TargetMode="External"/><Relationship Id="rId17" Type="http://schemas.openxmlformats.org/officeDocument/2006/relationships/hyperlink" Target="http://www.sec.gov/Archives/edgar/data/1788028/000121390024050751/ea020728501ex4-6_jasper.htm" TargetMode="External"/><Relationship Id="rId18" Type="http://schemas.openxmlformats.org/officeDocument/2006/relationships/hyperlink" Target="http://www.sec.gov/Archives/edgar/data/1788028/000121390024050751/ea020728501ex4-7_jasper.htm" TargetMode="External"/><Relationship Id="rId19" Type="http://schemas.openxmlformats.org/officeDocument/2006/relationships/hyperlink" Target="http://www.sec.gov/Archives/edgar/data/1788028/000121390023047446/ea179979ex10-1_jasper.htm" TargetMode="External"/><Relationship Id="rId20" Type="http://schemas.openxmlformats.org/officeDocument/2006/relationships/hyperlink" Target="http://www.sec.gov/Archives/edgar/data/1788028/000121390022013605/ea151694ex10-6_jaspertherap.htm" TargetMode="External"/><Relationship Id="rId21" Type="http://schemas.openxmlformats.org/officeDocument/2006/relationships/hyperlink" Target="http://www.sec.gov/Archives/edgar/data/1788028/000121390022013605/ea151694ex10-7_jaspertherap.htm" TargetMode="External"/><Relationship Id="rId22" Type="http://schemas.openxmlformats.org/officeDocument/2006/relationships/hyperlink" Target="http://www.sec.gov/Archives/edgar/data/1788028/000121390021037334/fs42021a1ex10-12_amplitude.htm" TargetMode="External"/><Relationship Id="rId23" Type="http://schemas.openxmlformats.org/officeDocument/2006/relationships/hyperlink" Target="https://www.sec.gov/Archives/edgar/data/0001788028/000121390024051891/ea020763101ex10-3_jasper.htm" TargetMode="External"/><Relationship Id="rId24" Type="http://schemas.openxmlformats.org/officeDocument/2006/relationships/hyperlink" Target="https://www.sec.gov/Archives/edgar/data/0001788028/000121390024051891/ea020763101ex10-4_jasper.htm" TargetMode="External"/><Relationship Id="rId25" Type="http://schemas.openxmlformats.org/officeDocument/2006/relationships/hyperlink" Target="https://www.sec.gov/Archives/edgar/data/0001788028/000121390024051891/ea020763101ex10-5_jasper.htm" TargetMode="External"/><Relationship Id="rId26" Type="http://schemas.openxmlformats.org/officeDocument/2006/relationships/hyperlink" Target="https://www.sec.gov/Archives/edgar/data/1788028/000121390021037334/fs42021a1ex10-29_amplitude.htm" TargetMode="External"/><Relationship Id="rId27" Type="http://schemas.openxmlformats.org/officeDocument/2006/relationships/hyperlink" Target="https://www.sec.gov/Archives/edgar/data/1788028/000121390025018384/ea023178801ex10-17_jasper.htm" TargetMode="External"/><Relationship Id="rId28" Type="http://schemas.openxmlformats.org/officeDocument/2006/relationships/hyperlink" Target="http://www.sec.gov/Archives/edgar/data/1788028/000121390021037334/fs42021a1ex10-28_amplitude.htm" TargetMode="External"/><Relationship Id="rId29" Type="http://schemas.openxmlformats.org/officeDocument/2006/relationships/hyperlink" Target="http://www.sec.gov/Archives/edgar/data/1788028/000121390021040851/fs42021a2ex10-13_amplitude.htm" TargetMode="External"/><Relationship Id="rId30" Type="http://schemas.openxmlformats.org/officeDocument/2006/relationships/hyperlink" Target="http://www.sec.gov/Archives/edgar/data/1788028/000121390021040851/fs42021a2ex10-14_amplitude.htm" TargetMode="External"/><Relationship Id="rId31" Type="http://schemas.openxmlformats.org/officeDocument/2006/relationships/hyperlink" Target="http://www.sec.gov/Archives/edgar/data/1788028/000121390021040851/fs42021a2ex10-15_amplitude.htm" TargetMode="External"/><Relationship Id="rId32" Type="http://schemas.openxmlformats.org/officeDocument/2006/relationships/hyperlink" Target="http://www.sec.gov/Archives/edgar/data/1788028/000121390021040851/fs42021a2ex10-16_amplitude.htm" TargetMode="External"/><Relationship Id="rId33" Type="http://schemas.openxmlformats.org/officeDocument/2006/relationships/hyperlink" Target="http://www.sec.gov/Archives/edgar/data/1788028/000121390021040851/fs42021a2ex10-17_amplitude.htm" TargetMode="External"/><Relationship Id="rId34" Type="http://schemas.openxmlformats.org/officeDocument/2006/relationships/hyperlink" Target="http://www.sec.gov/Archives/edgar/data/1788028/000121390021040851/fs42021a2ex10-18_amplitude.htm" TargetMode="External"/><Relationship Id="rId35" Type="http://schemas.openxmlformats.org/officeDocument/2006/relationships/hyperlink" Target="http://www.sec.gov/Archives/edgar/data/1788028/000121390021040851/fs42021a2ex10-19_amplitude.htm" TargetMode="External"/><Relationship Id="rId36" Type="http://schemas.openxmlformats.org/officeDocument/2006/relationships/hyperlink" Target="http://www.sec.gov/Archives/edgar/data/1788028/000121390023066234/f10q0623ex10-2_jasperthera.htm" TargetMode="External"/><Relationship Id="rId37" Type="http://schemas.openxmlformats.org/officeDocument/2006/relationships/hyperlink" Target="http://www.sec.gov/Archives/edgar/data/1788028/000121390021040851/fs42021a2ex10-20_amplitude.htm" TargetMode="External"/><Relationship Id="rId38" Type="http://schemas.openxmlformats.org/officeDocument/2006/relationships/hyperlink" Target="http://www.sec.gov/Archives/edgar/data/1788028/000121390021044097/fs42021a3ex10-25_amplitude.htm" TargetMode="External"/><Relationship Id="rId39" Type="http://schemas.openxmlformats.org/officeDocument/2006/relationships/hyperlink" Target="http://www.sec.gov/Archives/edgar/data/1788028/000121390021044097/fs42021a3ex10-26_amplitude.htm" TargetMode="External"/><Relationship Id="rId40" Type="http://schemas.openxmlformats.org/officeDocument/2006/relationships/hyperlink" Target="http://www.sec.gov/Archives/edgar/data/1788028/000121390021044097/fs42021a3ex10-27_amplitude.htm" TargetMode="External"/><Relationship Id="rId41" Type="http://schemas.openxmlformats.org/officeDocument/2006/relationships/hyperlink" Target="https://www.sec.gov/Archives/edgar/data/1788028/000121390025025077/ea023473001ex1-2_jasper.htm" TargetMode="External"/><Relationship Id="rId42" Type="http://schemas.openxmlformats.org/officeDocument/2006/relationships/hyperlink" Target="https://www.sec.gov/Archives/edgar/data/1788028/000121390025025077/ea023473001ex1-2_jasper.htm" TargetMode="External"/><Relationship Id="rId43" Type="http://schemas.openxmlformats.org/officeDocument/2006/relationships/hyperlink" Target="https://www.sec.gov/Archives/edgar/data/1788028/000121390025025077/ea023473001ex1-2_jasper.htm" TargetMode="External"/><Relationship Id="rId44" Type="http://schemas.openxmlformats.org/officeDocument/2006/relationships/hyperlink" Target="http://www.sec.gov/Archives/edgar/data/1788028/000121390025018384/ea023178801ex19-1_jasper.htm" TargetMode="External"/><Relationship Id="rId45" Type="http://schemas.openxmlformats.org/officeDocument/2006/relationships/hyperlink" Target="http://www.sec.gov/Archives/edgar/data/1788028/000121390021050592/ea147929ex21-1_jasper.htm" TargetMode="External"/><Relationship Id="rId46" Type="http://schemas.openxmlformats.org/officeDocument/2006/relationships/hyperlink" Target="https://www.sec.gov/Archives/edgar/data/1788028/000121390026036426/ea028212801ex23-1.htm" TargetMode="External"/><Relationship Id="rId47" Type="http://schemas.openxmlformats.org/officeDocument/2006/relationships/hyperlink" Target="https://www.sec.gov/Archives/edgar/data/1788028/000121390026036426/ea028212801ex31-1.htm" TargetMode="External"/><Relationship Id="rId48" Type="http://schemas.openxmlformats.org/officeDocument/2006/relationships/hyperlink" Target="https://www.sec.gov/Archives/edgar/data/1788028/000121390026036426/ea028212801ex31-2.htm" TargetMode="External"/><Relationship Id="rId49" Type="http://schemas.openxmlformats.org/officeDocument/2006/relationships/hyperlink" Target="https://www.sec.gov/Archives/edgar/data/1788028/000121390026036426/ea028212801ex32-1.htm" TargetMode="External"/><Relationship Id="rId50" Type="http://schemas.openxmlformats.org/officeDocument/2006/relationships/hyperlink" Target="https://www.sec.gov/Archives/edgar/data/1788028/000121390024020114/f10k2023ex97_jasper.htm" TargetMode="External"/><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22383</Words>
  <Characters>122608</Characters>
  <CharactersWithSpaces>145583</CharactersWithSpaces>
  <Paragraphs>3270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